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48" w:rsidRDefault="00375E48" w:rsidP="003A1DEF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Отчет за </w:t>
      </w:r>
      <w:r w:rsidRPr="00742F5E">
        <w:rPr>
          <w:rFonts w:ascii="Times New Roman" w:hAnsi="Times New Roman" w:cs="Times New Roman"/>
          <w:b/>
          <w:sz w:val="40"/>
          <w:szCs w:val="40"/>
        </w:rPr>
        <w:t xml:space="preserve">учебната дейност </w:t>
      </w:r>
      <w:r w:rsidRPr="00742F5E">
        <w:rPr>
          <w:rFonts w:ascii="Times New Roman" w:hAnsi="Times New Roman" w:cs="Times New Roman"/>
          <w:b/>
          <w:sz w:val="40"/>
          <w:szCs w:val="40"/>
        </w:rPr>
        <w:br/>
        <w:t>в</w:t>
      </w:r>
      <w:r>
        <w:rPr>
          <w:rFonts w:ascii="Times New Roman" w:hAnsi="Times New Roman" w:cs="Times New Roman"/>
          <w:b/>
          <w:sz w:val="40"/>
          <w:szCs w:val="40"/>
        </w:rPr>
        <w:t>ъв  Финансово</w:t>
      </w:r>
      <w:r w:rsidR="00164CC7">
        <w:rPr>
          <w:rFonts w:ascii="Times New Roman" w:hAnsi="Times New Roman" w:cs="Times New Roman"/>
          <w:b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z w:val="40"/>
          <w:szCs w:val="40"/>
        </w:rPr>
        <w:t xml:space="preserve"> счетоводен факултет</w:t>
      </w:r>
      <w:r w:rsidRPr="00742F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42F5E">
        <w:rPr>
          <w:rFonts w:ascii="Times New Roman" w:hAnsi="Times New Roman" w:cs="Times New Roman"/>
          <w:b/>
          <w:sz w:val="40"/>
          <w:szCs w:val="40"/>
        </w:rPr>
        <w:br/>
        <w:t>за периода ноември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– ноември 2019</w:t>
      </w:r>
    </w:p>
    <w:p w:rsidR="005718E0" w:rsidRDefault="005718E0" w:rsidP="00964F6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004" w:rsidRPr="00160EB9" w:rsidRDefault="00C050ED" w:rsidP="00964F6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Основната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цел на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ръководството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на ФСФ в направление “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учебна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” е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свързана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усъвършенстване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повишаване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качеството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учебния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в ОКС «</w:t>
      </w:r>
      <w:proofErr w:type="spellStart"/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>бакалавър</w:t>
      </w:r>
      <w:proofErr w:type="spellEnd"/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>ОКС «</w:t>
      </w:r>
      <w:proofErr w:type="spellStart"/>
      <w:r w:rsidRPr="00160EB9">
        <w:rPr>
          <w:rFonts w:ascii="Times New Roman" w:hAnsi="Times New Roman" w:cs="Times New Roman"/>
          <w:sz w:val="28"/>
          <w:szCs w:val="28"/>
          <w:lang w:val="ru-RU"/>
        </w:rPr>
        <w:t>магистър</w:t>
      </w:r>
      <w:proofErr w:type="spellEnd"/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и ОНС</w:t>
      </w:r>
      <w:r w:rsidR="00964F63" w:rsidRPr="00160E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60EB9">
        <w:rPr>
          <w:rFonts w:ascii="Times New Roman" w:hAnsi="Times New Roman" w:cs="Times New Roman"/>
          <w:sz w:val="28"/>
          <w:szCs w:val="28"/>
          <w:lang w:val="ru-RU"/>
        </w:rPr>
        <w:t>доктор».</w:t>
      </w:r>
      <w:r w:rsidR="002F10BB" w:rsidRPr="00160E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733B9">
        <w:rPr>
          <w:rFonts w:ascii="Times New Roman" w:hAnsi="Times New Roman" w:cs="Times New Roman"/>
          <w:b/>
          <w:bCs/>
          <w:sz w:val="28"/>
          <w:szCs w:val="28"/>
        </w:rPr>
        <w:t>През периода б</w:t>
      </w:r>
      <w:r w:rsidR="002F10BB"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еше въведена  организация на ежегодно обсъждане и актуализиране на учебните програми и съдържанието на учебните дисциплини в съответствие с промените в нормативната уредба и потребностите на практиката. </w:t>
      </w:r>
      <w:r w:rsidR="00964F63"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Осигуряването на ефективна връзка с практиката  беше постигнато  с включването на представители от практиката във </w:t>
      </w:r>
      <w:r w:rsidR="00964F63" w:rsidRPr="00160EB9">
        <w:rPr>
          <w:rFonts w:ascii="Times New Roman" w:hAnsi="Times New Roman" w:cs="Times New Roman"/>
          <w:b/>
          <w:sz w:val="28"/>
          <w:szCs w:val="28"/>
        </w:rPr>
        <w:t xml:space="preserve">факултетната комисия по </w:t>
      </w:r>
      <w:r w:rsidR="00964F63"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оценяване и одобряване на програмите за обучение /ФКООПО/. </w:t>
      </w:r>
      <w:r w:rsidR="00964F63" w:rsidRPr="00B733B9">
        <w:rPr>
          <w:rFonts w:ascii="Times New Roman" w:hAnsi="Times New Roman" w:cs="Times New Roman"/>
          <w:b/>
          <w:sz w:val="28"/>
          <w:szCs w:val="28"/>
        </w:rPr>
        <w:t>Освен това г</w:t>
      </w:r>
      <w:r w:rsidR="00107026" w:rsidRPr="00B733B9">
        <w:rPr>
          <w:rFonts w:ascii="Times New Roman" w:hAnsi="Times New Roman" w:cs="Times New Roman"/>
          <w:b/>
          <w:sz w:val="28"/>
          <w:szCs w:val="28"/>
        </w:rPr>
        <w:t>оляма част от редовните и всички хонорувани преподаватели са  специалисти от практиката и поднасят на студентите актуална информация за проблемите и пътищат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>а за тяхното решаване. Провеждаха</w:t>
      </w:r>
      <w:r w:rsidR="00107026" w:rsidRPr="00B733B9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EB4D39" w:rsidRPr="00B733B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07026" w:rsidRPr="00B733B9">
        <w:rPr>
          <w:rFonts w:ascii="Times New Roman" w:hAnsi="Times New Roman" w:cs="Times New Roman"/>
          <w:b/>
          <w:sz w:val="28"/>
          <w:szCs w:val="28"/>
        </w:rPr>
        <w:t xml:space="preserve"> срещи с изявени специалисти от практиката.</w:t>
      </w:r>
      <w:r w:rsidR="00964F63" w:rsidRPr="00B73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F63" w:rsidRPr="00160EB9">
        <w:rPr>
          <w:rFonts w:ascii="Times New Roman" w:hAnsi="Times New Roman" w:cs="Times New Roman"/>
          <w:b/>
          <w:bCs/>
          <w:sz w:val="28"/>
          <w:szCs w:val="28"/>
        </w:rPr>
        <w:t>Ежегодно се обсъжда</w:t>
      </w:r>
      <w:r w:rsidR="00074382" w:rsidRPr="00160EB9">
        <w:rPr>
          <w:rFonts w:ascii="Times New Roman" w:hAnsi="Times New Roman" w:cs="Times New Roman"/>
          <w:b/>
          <w:bCs/>
          <w:sz w:val="28"/>
          <w:szCs w:val="28"/>
        </w:rPr>
        <w:t>ше</w:t>
      </w:r>
      <w:r w:rsidR="00964F63"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 ефективността от начина на провеждане на изпитите и се разглеждат различни мерки за нейното подобряване.</w:t>
      </w:r>
    </w:p>
    <w:p w:rsidR="00BF3573" w:rsidRPr="00160EB9" w:rsidRDefault="00BF3573" w:rsidP="00500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През отчетния период  трите катедри във ФСФ полагаха усилия за повишаване на качеството на учебния процес. За ефективното провеждане на </w:t>
      </w:r>
      <w:r w:rsidRPr="00160EB9">
        <w:rPr>
          <w:rFonts w:ascii="Times New Roman" w:hAnsi="Times New Roman" w:cs="Times New Roman"/>
          <w:bCs/>
          <w:sz w:val="28"/>
          <w:szCs w:val="28"/>
        </w:rPr>
        <w:t>политиката по повишаване на качеството на учебните планове и учебните програми</w:t>
      </w:r>
      <w:r w:rsidRPr="00160EB9">
        <w:rPr>
          <w:rFonts w:ascii="Times New Roman" w:hAnsi="Times New Roman" w:cs="Times New Roman"/>
          <w:sz w:val="28"/>
          <w:szCs w:val="28"/>
        </w:rPr>
        <w:t>,</w:t>
      </w:r>
      <w:r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 xml:space="preserve">деканското ръководство изпълняваше следните </w:t>
      </w:r>
      <w:r w:rsidRPr="00160EB9">
        <w:rPr>
          <w:rFonts w:ascii="Times New Roman" w:hAnsi="Times New Roman" w:cs="Times New Roman"/>
          <w:bCs/>
          <w:sz w:val="28"/>
          <w:szCs w:val="28"/>
        </w:rPr>
        <w:t>цели</w:t>
      </w:r>
      <w:r w:rsidRPr="00160EB9">
        <w:rPr>
          <w:rFonts w:ascii="Times New Roman" w:hAnsi="Times New Roman" w:cs="Times New Roman"/>
          <w:sz w:val="28"/>
          <w:szCs w:val="28"/>
        </w:rPr>
        <w:t>:</w:t>
      </w:r>
    </w:p>
    <w:p w:rsidR="00BF3573" w:rsidRPr="00160EB9" w:rsidRDefault="00BF3573" w:rsidP="00BF3573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60" w:after="0" w:line="264" w:lineRule="auto"/>
        <w:ind w:left="567" w:hanging="283"/>
        <w:jc w:val="both"/>
        <w:textAlignment w:val="baseline"/>
        <w:rPr>
          <w:spacing w:val="-4"/>
          <w:sz w:val="28"/>
          <w:szCs w:val="28"/>
          <w:lang w:val="bg-BG"/>
        </w:rPr>
      </w:pPr>
      <w:r w:rsidRPr="00160EB9">
        <w:rPr>
          <w:spacing w:val="-4"/>
          <w:sz w:val="28"/>
          <w:szCs w:val="28"/>
          <w:lang w:val="bg-BG"/>
        </w:rPr>
        <w:t xml:space="preserve">осигуряване и поддържане на съответствието на учебния процес във ФСФ с </w:t>
      </w:r>
      <w:r w:rsidRPr="00160EB9">
        <w:rPr>
          <w:sz w:val="28"/>
          <w:szCs w:val="28"/>
          <w:lang w:val="bg-BG"/>
        </w:rPr>
        <w:t xml:space="preserve"> образователната политика на УНСС;</w:t>
      </w:r>
    </w:p>
    <w:p w:rsidR="00BF3573" w:rsidRPr="00160EB9" w:rsidRDefault="00BF3573" w:rsidP="00BF3573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60" w:after="0" w:line="264" w:lineRule="auto"/>
        <w:ind w:left="567" w:hanging="283"/>
        <w:jc w:val="both"/>
        <w:textAlignment w:val="baseline"/>
        <w:rPr>
          <w:spacing w:val="-4"/>
          <w:sz w:val="28"/>
          <w:szCs w:val="28"/>
          <w:lang w:val="bg-BG"/>
        </w:rPr>
      </w:pPr>
      <w:r w:rsidRPr="00160EB9">
        <w:rPr>
          <w:spacing w:val="-4"/>
          <w:sz w:val="28"/>
          <w:szCs w:val="28"/>
          <w:lang w:val="bg-BG"/>
        </w:rPr>
        <w:t>предоставяне на качествени и трайни теоретични знания и практически умения на студентите с оглед тяхната успешна реализация;</w:t>
      </w:r>
    </w:p>
    <w:p w:rsidR="00BF3573" w:rsidRPr="00160EB9" w:rsidRDefault="00BF3573" w:rsidP="00BF3573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60" w:after="0" w:line="264" w:lineRule="auto"/>
        <w:ind w:left="567" w:hanging="283"/>
        <w:jc w:val="both"/>
        <w:textAlignment w:val="baseline"/>
        <w:rPr>
          <w:spacing w:val="-8"/>
          <w:sz w:val="28"/>
          <w:szCs w:val="28"/>
          <w:lang w:val="bg-BG"/>
        </w:rPr>
      </w:pPr>
      <w:r w:rsidRPr="00160EB9">
        <w:rPr>
          <w:spacing w:val="-8"/>
          <w:sz w:val="28"/>
          <w:szCs w:val="28"/>
          <w:lang w:val="bg-BG"/>
        </w:rPr>
        <w:t>увеличаване удовлетвореността на студентите от предоставяните във ФСФ условия за развиване на техните компетенции, в областта на финансите, счетоводството и финансовия контрол;</w:t>
      </w:r>
    </w:p>
    <w:p w:rsidR="00BF3573" w:rsidRPr="00160EB9" w:rsidRDefault="00BF3573" w:rsidP="00BF3573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60" w:after="0" w:line="264" w:lineRule="auto"/>
        <w:ind w:left="567" w:hanging="283"/>
        <w:jc w:val="both"/>
        <w:textAlignment w:val="baseline"/>
        <w:rPr>
          <w:spacing w:val="-4"/>
          <w:sz w:val="28"/>
          <w:szCs w:val="28"/>
          <w:lang w:val="bg-BG"/>
        </w:rPr>
      </w:pPr>
      <w:r w:rsidRPr="00160EB9">
        <w:rPr>
          <w:spacing w:val="-4"/>
          <w:sz w:val="28"/>
          <w:szCs w:val="28"/>
          <w:lang w:val="bg-BG"/>
        </w:rPr>
        <w:t>непрекъснато усъвършенстване на работата на академичния състав;</w:t>
      </w:r>
    </w:p>
    <w:p w:rsidR="00BF3573" w:rsidRPr="00160EB9" w:rsidRDefault="00BF3573" w:rsidP="00BF3573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60" w:after="0" w:line="264" w:lineRule="auto"/>
        <w:ind w:left="567" w:hanging="283"/>
        <w:jc w:val="both"/>
        <w:textAlignment w:val="baseline"/>
        <w:rPr>
          <w:spacing w:val="-4"/>
          <w:sz w:val="28"/>
          <w:szCs w:val="28"/>
          <w:lang w:val="bg-BG"/>
        </w:rPr>
      </w:pPr>
      <w:r w:rsidRPr="00160EB9">
        <w:rPr>
          <w:spacing w:val="-4"/>
          <w:sz w:val="28"/>
          <w:szCs w:val="28"/>
          <w:lang w:val="bg-BG"/>
        </w:rPr>
        <w:lastRenderedPageBreak/>
        <w:t xml:space="preserve">съдействие на ФСФ за </w:t>
      </w:r>
      <w:r w:rsidRPr="00160EB9">
        <w:rPr>
          <w:sz w:val="28"/>
          <w:szCs w:val="28"/>
          <w:lang w:val="bg-BG"/>
        </w:rPr>
        <w:t>осигуряване и поддържане на висока конкурентоспособност на УНСС и превръщането му в еталон на образователна и изследователска институция.</w:t>
      </w:r>
    </w:p>
    <w:p w:rsidR="00074382" w:rsidRPr="00B733B9" w:rsidRDefault="00107026" w:rsidP="00D21B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bCs/>
          <w:spacing w:val="-4"/>
          <w:sz w:val="28"/>
          <w:szCs w:val="28"/>
        </w:rPr>
        <w:t>Ръководството на ФСФ</w:t>
      </w:r>
      <w:r w:rsidRPr="00160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0E3" w:rsidRPr="00160EB9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провеждаше редовно срещи</w:t>
      </w:r>
      <w:r w:rsidRPr="00160EB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 първокурсниците за представяне на учебните планове на трите специалности в бакалавърска степен</w:t>
      </w:r>
      <w:r w:rsidR="005D10E3" w:rsidRPr="00160EB9">
        <w:rPr>
          <w:rFonts w:ascii="Times New Roman" w:hAnsi="Times New Roman" w:cs="Times New Roman"/>
          <w:b/>
          <w:bCs/>
          <w:spacing w:val="-4"/>
          <w:sz w:val="28"/>
          <w:szCs w:val="28"/>
        </w:rPr>
        <w:t>. И в трите катедри се провежда всяка година „седмица на отворените врати“.</w:t>
      </w:r>
      <w:r w:rsidR="00074382" w:rsidRPr="00160EB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Голяма роля за осъществяване на връзката със студентите в ОКС „магистър“ имат научните ръководители на специалностите. </w:t>
      </w:r>
      <w:r w:rsidR="00074382" w:rsidRPr="00160EB9">
        <w:rPr>
          <w:rFonts w:ascii="Times New Roman" w:hAnsi="Times New Roman" w:cs="Times New Roman"/>
          <w:sz w:val="28"/>
          <w:szCs w:val="28"/>
        </w:rPr>
        <w:t xml:space="preserve"> 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>Те провеждат срещи с новоприетите студенти в първи семестър на обучението за  представяне на  учебните планове на специалностите и  връчване на студентските книжки. Научните ръковод</w:t>
      </w:r>
      <w:r w:rsidR="00D21BE6" w:rsidRPr="00B733B9">
        <w:rPr>
          <w:rFonts w:ascii="Times New Roman" w:hAnsi="Times New Roman" w:cs="Times New Roman"/>
          <w:b/>
          <w:sz w:val="28"/>
          <w:szCs w:val="28"/>
        </w:rPr>
        <w:t>ители на специалностите в ОКС „м</w:t>
      </w:r>
      <w:r w:rsidR="00B733B9">
        <w:rPr>
          <w:rFonts w:ascii="Times New Roman" w:hAnsi="Times New Roman" w:cs="Times New Roman"/>
          <w:b/>
          <w:sz w:val="28"/>
          <w:szCs w:val="28"/>
        </w:rPr>
        <w:t>агистър“ провеждат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 xml:space="preserve"> срещи </w:t>
      </w:r>
      <w:r w:rsidR="00B733B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>със студентите в последен семес</w:t>
      </w:r>
      <w:r w:rsidR="00B733B9">
        <w:rPr>
          <w:rFonts w:ascii="Times New Roman" w:hAnsi="Times New Roman" w:cs="Times New Roman"/>
          <w:b/>
          <w:sz w:val="28"/>
          <w:szCs w:val="28"/>
        </w:rPr>
        <w:t>тър на обучението, на които се изясняват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 xml:space="preserve">  изискванията към изготвянето на дипломните работи и процедурите  по определянето на научни ръководители на дипломни работи.</w:t>
      </w:r>
      <w:r w:rsidR="00D21BE6" w:rsidRPr="00B7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3B9">
        <w:rPr>
          <w:rFonts w:ascii="Times New Roman" w:hAnsi="Times New Roman" w:cs="Times New Roman"/>
          <w:b/>
          <w:sz w:val="28"/>
          <w:szCs w:val="28"/>
        </w:rPr>
        <w:t>Студентите се подпомагат в избора на теми на дипломните работи, като се</w:t>
      </w:r>
      <w:r w:rsidR="00E26F0D">
        <w:rPr>
          <w:rFonts w:ascii="Times New Roman" w:hAnsi="Times New Roman" w:cs="Times New Roman"/>
          <w:b/>
          <w:sz w:val="28"/>
          <w:szCs w:val="28"/>
        </w:rPr>
        <w:t xml:space="preserve"> обсъждат 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 xml:space="preserve"> проблемите, които могат да бъдат изследвани  в различните области, обхванати в специалност</w:t>
      </w:r>
      <w:r w:rsidR="005A5620" w:rsidRPr="00B733B9">
        <w:rPr>
          <w:rFonts w:ascii="Times New Roman" w:hAnsi="Times New Roman" w:cs="Times New Roman"/>
          <w:b/>
          <w:sz w:val="28"/>
          <w:szCs w:val="28"/>
        </w:rPr>
        <w:t>ите</w:t>
      </w:r>
      <w:r w:rsidR="00074382" w:rsidRPr="00B733B9">
        <w:rPr>
          <w:rFonts w:ascii="Times New Roman" w:hAnsi="Times New Roman" w:cs="Times New Roman"/>
          <w:b/>
          <w:sz w:val="28"/>
          <w:szCs w:val="28"/>
        </w:rPr>
        <w:t>.</w:t>
      </w:r>
    </w:p>
    <w:p w:rsidR="00BF3573" w:rsidRDefault="00BF3573" w:rsidP="005A56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Интересът на кандидат – студентите към предлаганите от ФСФ специалности в ОКС „Бакалавър“ и ОКС „Магистър“, който се потвърждава  всяка година по време на кандидат – студентските кампании,  е оценка за </w:t>
      </w:r>
      <w:r w:rsidR="00E26F0D">
        <w:rPr>
          <w:rFonts w:ascii="Times New Roman" w:hAnsi="Times New Roman" w:cs="Times New Roman"/>
          <w:b/>
          <w:sz w:val="28"/>
          <w:szCs w:val="28"/>
        </w:rPr>
        <w:t xml:space="preserve">добрите резултати от усилията на колектива на ФСФ и </w:t>
      </w:r>
      <w:r w:rsidRPr="00160EB9">
        <w:rPr>
          <w:rFonts w:ascii="Times New Roman" w:hAnsi="Times New Roman" w:cs="Times New Roman"/>
          <w:b/>
          <w:sz w:val="28"/>
          <w:szCs w:val="28"/>
        </w:rPr>
        <w:t>високото качество на обучението.</w:t>
      </w:r>
    </w:p>
    <w:p w:rsidR="00E26F0D" w:rsidRPr="00160EB9" w:rsidRDefault="00E26F0D" w:rsidP="005A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559"/>
        <w:gridCol w:w="1134"/>
      </w:tblGrid>
      <w:tr w:rsidR="006D0310" w:rsidRPr="00160EB9" w:rsidTr="0076224D">
        <w:tc>
          <w:tcPr>
            <w:tcW w:w="9067" w:type="dxa"/>
            <w:gridSpan w:val="5"/>
          </w:tcPr>
          <w:p w:rsidR="006D0310" w:rsidRPr="00160EB9" w:rsidRDefault="006D0310" w:rsidP="0061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за учебната дейност </w:t>
            </w: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във  Финансово счетоводен факултет </w:t>
            </w: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периода ноември 201</w:t>
            </w:r>
            <w:r w:rsidRPr="00160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ноември 2019</w:t>
            </w:r>
          </w:p>
        </w:tc>
      </w:tr>
      <w:tr w:rsidR="0076224D" w:rsidRPr="00160EB9" w:rsidTr="0076224D">
        <w:trPr>
          <w:trHeight w:val="1172"/>
        </w:trPr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76224D" w:rsidRPr="00160EB9" w:rsidRDefault="0076224D" w:rsidP="0076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Катедра „Счетоводство и анализ“</w:t>
            </w:r>
          </w:p>
        </w:tc>
        <w:tc>
          <w:tcPr>
            <w:tcW w:w="1559" w:type="dxa"/>
          </w:tcPr>
          <w:p w:rsidR="0076224D" w:rsidRPr="00160EB9" w:rsidRDefault="0076224D" w:rsidP="0076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Катедра „Финанси“</w:t>
            </w:r>
          </w:p>
        </w:tc>
        <w:tc>
          <w:tcPr>
            <w:tcW w:w="1559" w:type="dxa"/>
          </w:tcPr>
          <w:p w:rsidR="0076224D" w:rsidRPr="00160EB9" w:rsidRDefault="0076224D" w:rsidP="0076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Катедра „Финансов контрол“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Всичко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в проекти, свързани с повишаване на </w:t>
            </w:r>
            <w:r w:rsidRPr="0016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качеството на обучението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4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224D" w:rsidRPr="00160EB9" w:rsidRDefault="00460420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Обсъдени и приети нови учебни планове</w:t>
            </w:r>
            <w:r w:rsidR="00B4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="00B4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ОКС“магистър</w:t>
            </w:r>
            <w:proofErr w:type="spellEnd"/>
            <w:r w:rsidR="00B45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224D" w:rsidRPr="00160EB9" w:rsidRDefault="005C54C5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45154" w:rsidRPr="00160EB9" w:rsidTr="0076224D">
        <w:tc>
          <w:tcPr>
            <w:tcW w:w="3114" w:type="dxa"/>
          </w:tcPr>
          <w:p w:rsidR="00B45154" w:rsidRPr="00160EB9" w:rsidRDefault="00B45154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Обсъдени и приети нови учебни планове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ОКС“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бакалавър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:rsidR="00B45154" w:rsidRPr="00160EB9" w:rsidRDefault="00B45154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5154" w:rsidRPr="00160EB9" w:rsidRDefault="008E6758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45154" w:rsidRPr="00160EB9" w:rsidRDefault="008E6758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45154" w:rsidRPr="00160EB9" w:rsidRDefault="008E6758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5154" w:rsidRPr="00160EB9" w:rsidRDefault="008E6758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Обсъдени и приети частични промени в учебните планове </w:t>
            </w:r>
            <w:r w:rsidR="00B45154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„магистър“</w:t>
            </w:r>
          </w:p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224D" w:rsidRPr="00160EB9" w:rsidRDefault="005C54C5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5154" w:rsidRPr="00160EB9" w:rsidTr="0076224D">
        <w:tc>
          <w:tcPr>
            <w:tcW w:w="3114" w:type="dxa"/>
          </w:tcPr>
          <w:p w:rsidR="00B45154" w:rsidRPr="00160EB9" w:rsidRDefault="00B45154" w:rsidP="00B45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Обсъдени и приети частични промени в учебните планове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ОКС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бакалавър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B45154" w:rsidRPr="00160EB9" w:rsidRDefault="00B45154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5154" w:rsidRPr="00160EB9" w:rsidRDefault="005C54C5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45154" w:rsidRPr="00160EB9" w:rsidRDefault="005C54C5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45154" w:rsidRPr="00160EB9" w:rsidRDefault="005C54C5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5154" w:rsidRPr="00160EB9" w:rsidRDefault="005C54C5" w:rsidP="00B4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224D" w:rsidRPr="00160EB9" w:rsidTr="00BC3659">
        <w:trPr>
          <w:trHeight w:val="2228"/>
        </w:trPr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Обсъдени и приети актуализирани учебни програми по учебните планове </w:t>
            </w:r>
            <w:r w:rsidR="00BC365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„магистър“</w:t>
            </w:r>
          </w:p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6224D" w:rsidRPr="00160EB9" w:rsidRDefault="009E28DE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BC3659" w:rsidRPr="00160EB9" w:rsidTr="0076224D">
        <w:tc>
          <w:tcPr>
            <w:tcW w:w="3114" w:type="dxa"/>
          </w:tcPr>
          <w:p w:rsidR="00BC3659" w:rsidRPr="00160EB9" w:rsidRDefault="00BC3659" w:rsidP="00BC36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Обсъдени и приети актуализирани учебни програми по учебните планове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ОКС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бакалавър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BC3659" w:rsidRPr="00160EB9" w:rsidRDefault="00BC3659" w:rsidP="00BC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659" w:rsidRPr="00160EB9" w:rsidRDefault="005040C5" w:rsidP="00BC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59" w:type="dxa"/>
          </w:tcPr>
          <w:p w:rsidR="00BC3659" w:rsidRPr="00160EB9" w:rsidRDefault="005040C5" w:rsidP="00BC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BC3659" w:rsidRPr="00160EB9" w:rsidRDefault="005040C5" w:rsidP="00BC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C3659" w:rsidRPr="00160EB9" w:rsidRDefault="005040C5" w:rsidP="00BC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Обезпечаване на учебния процес с учебници и учебни материали</w:t>
            </w:r>
          </w:p>
        </w:tc>
        <w:tc>
          <w:tcPr>
            <w:tcW w:w="1701" w:type="dxa"/>
          </w:tcPr>
          <w:p w:rsidR="00446059" w:rsidRPr="00160EB9" w:rsidRDefault="00446059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76224D" w:rsidRPr="00160EB9" w:rsidRDefault="00446059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6224D" w:rsidRPr="00160EB9" w:rsidRDefault="00446059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Срещи със студентите</w:t>
            </w:r>
          </w:p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със студенти и докторанти</w:t>
            </w:r>
          </w:p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6224D" w:rsidRPr="00160EB9" w:rsidRDefault="0076224D" w:rsidP="008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6224D" w:rsidRPr="00160EB9" w:rsidTr="0076224D">
        <w:trPr>
          <w:trHeight w:val="3676"/>
        </w:trPr>
        <w:tc>
          <w:tcPr>
            <w:tcW w:w="3114" w:type="dxa"/>
          </w:tcPr>
          <w:p w:rsidR="0076224D" w:rsidRPr="00160EB9" w:rsidRDefault="0076224D" w:rsidP="00040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Промени в начина на провеждане на изпити /въвеждане на електронни изпити/ по отделни дисциплини и обсъждане на резултатите</w:t>
            </w:r>
          </w:p>
          <w:p w:rsidR="0076224D" w:rsidRPr="00160EB9" w:rsidRDefault="0076224D" w:rsidP="0004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24D" w:rsidRPr="00160EB9" w:rsidRDefault="0076224D" w:rsidP="0004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Въведен електронен изпит по 12 учебни дисциплини и ДИ</w:t>
            </w:r>
          </w:p>
        </w:tc>
        <w:tc>
          <w:tcPr>
            <w:tcW w:w="1559" w:type="dxa"/>
          </w:tcPr>
          <w:p w:rsidR="0076224D" w:rsidRPr="003A1DEF" w:rsidRDefault="003A1DEF" w:rsidP="0004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224D" w:rsidRPr="003A1DEF" w:rsidRDefault="0076224D" w:rsidP="001070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76224D" w:rsidRPr="00160EB9" w:rsidRDefault="0076224D" w:rsidP="0004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 xml:space="preserve">Въведен електронен изпит по 2 учебни дисциплини </w:t>
            </w:r>
          </w:p>
        </w:tc>
        <w:tc>
          <w:tcPr>
            <w:tcW w:w="1134" w:type="dxa"/>
          </w:tcPr>
          <w:p w:rsidR="0076224D" w:rsidRPr="00160EB9" w:rsidRDefault="003A1DEF" w:rsidP="0004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 анкетни проучвания сред студентите за оценка на качеството на обучението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Обсъдени на катедрени съвети резултати от проведени изпити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Обсъдени на катедрени съвети посещения на лекции и упражнения на </w:t>
            </w: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редовни и хонорувани преподаватели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76224D" w:rsidRPr="00160EB9" w:rsidRDefault="00410C2B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6224D" w:rsidRPr="00160EB9" w:rsidRDefault="00410C2B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6224D" w:rsidRPr="00160EB9" w:rsidRDefault="00410C2B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Защитени докторски дисертации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Обсъдени проекти за зачисляване в докторантура на самостоятелна подготовка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24D" w:rsidRPr="00160EB9" w:rsidTr="0076224D">
        <w:tc>
          <w:tcPr>
            <w:tcW w:w="311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Други мероприятия на катедрата, свързани с учебната дейност</w:t>
            </w:r>
          </w:p>
        </w:tc>
        <w:tc>
          <w:tcPr>
            <w:tcW w:w="1701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224D" w:rsidRPr="00160EB9" w:rsidRDefault="0076224D" w:rsidP="00D2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D0310" w:rsidRPr="00160EB9" w:rsidRDefault="006D0310" w:rsidP="006D0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574314" w:rsidP="006D0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Доклади за учебната дейност на катедрите във ФСФ.</w:t>
      </w:r>
      <w:bookmarkStart w:id="0" w:name="_GoBack"/>
      <w:bookmarkEnd w:id="0"/>
    </w:p>
    <w:p w:rsidR="006D0310" w:rsidRPr="00160EB9" w:rsidRDefault="006D0310" w:rsidP="006D0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8841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Доклад за учебната дейност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br/>
        <w:t xml:space="preserve">в катедра “Счетоводство и анализ“ </w:t>
      </w:r>
      <w:r w:rsidRPr="00160EB9">
        <w:rPr>
          <w:rFonts w:ascii="Times New Roman" w:hAnsi="Times New Roman" w:cs="Times New Roman"/>
          <w:b/>
          <w:sz w:val="28"/>
          <w:szCs w:val="28"/>
        </w:rPr>
        <w:br/>
        <w:t>за периода ноември 201</w:t>
      </w:r>
      <w:r w:rsidRPr="00160EB9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Pr="00160EB9">
        <w:rPr>
          <w:rFonts w:ascii="Times New Roman" w:hAnsi="Times New Roman" w:cs="Times New Roman"/>
          <w:b/>
          <w:sz w:val="28"/>
          <w:szCs w:val="28"/>
        </w:rPr>
        <w:t xml:space="preserve"> – ноември 201</w:t>
      </w:r>
      <w:r w:rsidRPr="00160EB9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проекти, свързани с повишаване на качеството на обучението – 5 </w:t>
      </w:r>
    </w:p>
    <w:p w:rsidR="006D0310" w:rsidRPr="00160EB9" w:rsidRDefault="006D0310" w:rsidP="006D0310">
      <w:pPr>
        <w:spacing w:before="120" w:after="120" w:line="240" w:lineRule="auto"/>
        <w:ind w:right="-2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t xml:space="preserve">През отчетния период преподаватели от катедрата ръководят и участват в следните 5 проекта: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„Адаптиране на учебни програми към изискванията на Institute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Chartered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Accountants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Wales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en-GB"/>
        </w:rPr>
        <w:t xml:space="preserve"> (ICAEW)</w:t>
      </w:r>
      <w:r w:rsidRPr="00160EB9">
        <w:rPr>
          <w:rFonts w:ascii="Times New Roman" w:hAnsi="Times New Roman" w:cs="Times New Roman"/>
          <w:sz w:val="28"/>
          <w:szCs w:val="28"/>
        </w:rPr>
        <w:t xml:space="preserve">“, НИД НИ 1–1/2013 г., ръководител: проф. д-р Румяна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Пожаревска</w:t>
      </w:r>
      <w:proofErr w:type="spellEnd"/>
    </w:p>
    <w:p w:rsidR="006D0310" w:rsidRPr="00160EB9" w:rsidRDefault="006D0310" w:rsidP="006D0310">
      <w:pPr>
        <w:spacing w:before="120" w:after="120" w:line="240" w:lineRule="auto"/>
        <w:ind w:left="709" w:right="-2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t xml:space="preserve">Целта на проекта е на студентите, които кандидатстват за придобиване на квалификацията “регистриран одитор” пред </w:t>
      </w:r>
      <w:r w:rsidRPr="00160E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ICAEW </w:t>
      </w:r>
      <w:r w:rsidRPr="00160EB9">
        <w:rPr>
          <w:rFonts w:ascii="Times New Roman" w:hAnsi="Times New Roman" w:cs="Times New Roman"/>
          <w:bCs/>
          <w:sz w:val="28"/>
          <w:szCs w:val="28"/>
        </w:rPr>
        <w:t>да бъдат признати изпитите от първо сертификационно ниво.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„Изследване на възможностите за адаптиране на учебни програми към изискванията на 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ssociation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hartered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ertified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ccountants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(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ACCA</w:t>
      </w:r>
      <w:r w:rsidRPr="00160EB9">
        <w:rPr>
          <w:rFonts w:ascii="Times New Roman" w:hAnsi="Times New Roman" w:cs="Times New Roman"/>
          <w:sz w:val="28"/>
          <w:szCs w:val="28"/>
        </w:rPr>
        <w:t>)“, НИД НИ 1–1/2015</w:t>
      </w:r>
    </w:p>
    <w:p w:rsidR="006D0310" w:rsidRPr="00160EB9" w:rsidRDefault="006D0310" w:rsidP="006D0310">
      <w:pPr>
        <w:spacing w:before="120" w:after="120" w:line="240" w:lineRule="auto"/>
        <w:ind w:left="709" w:right="-2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Целта на проекта е на студентите, които кандидатстват за придобиване на квалификацията “регистриран одитор” пред </w:t>
      </w:r>
      <w:r w:rsidRPr="00160E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ACCA </w:t>
      </w:r>
      <w:r w:rsidRPr="00160EB9">
        <w:rPr>
          <w:rFonts w:ascii="Times New Roman" w:hAnsi="Times New Roman" w:cs="Times New Roman"/>
          <w:bCs/>
          <w:sz w:val="28"/>
          <w:szCs w:val="28"/>
        </w:rPr>
        <w:t>да бъдат признати изпитите от първо сертификационно ниво.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 „Изследване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АССА“, НИД НИ-9-2019, ръководител: доц. д-р Мария Маркова</w:t>
      </w:r>
    </w:p>
    <w:p w:rsidR="006D0310" w:rsidRPr="00160EB9" w:rsidRDefault="006D0310" w:rsidP="006D0310">
      <w:pPr>
        <w:spacing w:before="120" w:after="120" w:line="240" w:lineRule="auto"/>
        <w:ind w:left="709" w:right="-2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t xml:space="preserve">Основната цел на проекта е да допринесе за изследването и внедряването на иновативни подходи на обучение по различни счетоводни дисциплини. </w:t>
      </w:r>
    </w:p>
    <w:p w:rsidR="006D0310" w:rsidRPr="00160EB9" w:rsidRDefault="006D0310" w:rsidP="006D0310">
      <w:pPr>
        <w:pStyle w:val="ListParagraph"/>
        <w:numPr>
          <w:ilvl w:val="0"/>
          <w:numId w:val="19"/>
        </w:numPr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t>„Предизвикателства на интегрираното развитие на знания и умения в съвременното образование по управленско счетоводство“ (НИ-1-2019), ръководител: доц. д-р Михаил Мусов</w:t>
      </w:r>
    </w:p>
    <w:p w:rsidR="006D0310" w:rsidRPr="00160EB9" w:rsidRDefault="006D0310" w:rsidP="006D0310">
      <w:pPr>
        <w:spacing w:before="120" w:after="120" w:line="240" w:lineRule="auto"/>
        <w:ind w:left="709" w:right="-2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bCs/>
          <w:sz w:val="28"/>
          <w:szCs w:val="28"/>
        </w:rPr>
        <w:t>Основната цел на проекта е да се постигне международно признат профил на образованието в УНСС в областта на управленското счетоводство посредством развитието на знанията и уменията на студентите като интегрирани компетенции в съответствие с квалификационните изисквания и образователните стандарти на водещата в света професионална организация – Института на сертифицираните управленски счетоводители (CIMA).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„Изследване на възможностите за подобряване на обучението по вътрешен одит в контекста на изискванията на Института на вътрешните одитори (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Institute </w:t>
      </w:r>
      <w:r w:rsidRPr="00160EB9"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160EB9"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Auditors</w:t>
      </w:r>
      <w:proofErr w:type="spellEnd"/>
      <w:r w:rsidRPr="00160EB9">
        <w:rPr>
          <w:rFonts w:ascii="Times New Roman" w:hAnsi="Times New Roman" w:cs="Times New Roman"/>
          <w:sz w:val="28"/>
          <w:szCs w:val="28"/>
          <w:lang w:val="en-GB"/>
        </w:rPr>
        <w:t xml:space="preserve">), </w:t>
      </w:r>
      <w:r w:rsidRPr="00160EB9">
        <w:rPr>
          <w:rFonts w:ascii="Times New Roman" w:hAnsi="Times New Roman" w:cs="Times New Roman"/>
          <w:sz w:val="28"/>
          <w:szCs w:val="28"/>
        </w:rPr>
        <w:t xml:space="preserve">НИД НИ 1–9/2015  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b/>
          <w:bCs/>
          <w:sz w:val="28"/>
          <w:szCs w:val="28"/>
        </w:rPr>
        <w:t>Обсъдени и приети нови учебни планове</w:t>
      </w:r>
    </w:p>
    <w:tbl>
      <w:tblPr>
        <w:tblStyle w:val="TableGrid"/>
        <w:tblW w:w="9096" w:type="dxa"/>
        <w:tblInd w:w="108" w:type="dxa"/>
        <w:tblLook w:val="04A0" w:firstRow="1" w:lastRow="0" w:firstColumn="1" w:lastColumn="0" w:noHBand="0" w:noVBand="1"/>
      </w:tblPr>
      <w:tblGrid>
        <w:gridCol w:w="1890"/>
        <w:gridCol w:w="1371"/>
        <w:gridCol w:w="1417"/>
        <w:gridCol w:w="1418"/>
        <w:gridCol w:w="1417"/>
        <w:gridCol w:w="1583"/>
      </w:tblGrid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Нови учебни планове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„магистър”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„бакалавър“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Обсъдени и приети частични промени в учебните планове </w:t>
      </w:r>
    </w:p>
    <w:tbl>
      <w:tblPr>
        <w:tblStyle w:val="TableGrid"/>
        <w:tblW w:w="9096" w:type="dxa"/>
        <w:tblInd w:w="108" w:type="dxa"/>
        <w:tblLook w:val="04A0" w:firstRow="1" w:lastRow="0" w:firstColumn="1" w:lastColumn="0" w:noHBand="0" w:noVBand="1"/>
      </w:tblPr>
      <w:tblGrid>
        <w:gridCol w:w="1890"/>
        <w:gridCol w:w="1371"/>
        <w:gridCol w:w="1417"/>
        <w:gridCol w:w="1418"/>
        <w:gridCol w:w="1417"/>
        <w:gridCol w:w="1583"/>
      </w:tblGrid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Частични промени в учебните планове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„магистър”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„бакалавър“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Обсъдени и приети актуализирани учебни програми по учебните планове </w:t>
      </w:r>
    </w:p>
    <w:tbl>
      <w:tblPr>
        <w:tblStyle w:val="TableGrid"/>
        <w:tblW w:w="9096" w:type="dxa"/>
        <w:tblInd w:w="108" w:type="dxa"/>
        <w:tblLook w:val="04A0" w:firstRow="1" w:lastRow="0" w:firstColumn="1" w:lastColumn="0" w:noHBand="0" w:noVBand="1"/>
      </w:tblPr>
      <w:tblGrid>
        <w:gridCol w:w="2208"/>
        <w:gridCol w:w="1309"/>
        <w:gridCol w:w="1350"/>
        <w:gridCol w:w="1350"/>
        <w:gridCol w:w="1350"/>
        <w:gridCol w:w="1529"/>
      </w:tblGrid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Актуализирани  учебни програми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„магистър”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За ОКС „бакалавър“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Обезпечаването на учебния процес с учебници и учебни материали: брой учебници, брой учебни помагала и др.</w:t>
      </w:r>
    </w:p>
    <w:tbl>
      <w:tblPr>
        <w:tblStyle w:val="TableGrid"/>
        <w:tblW w:w="9096" w:type="dxa"/>
        <w:tblInd w:w="108" w:type="dxa"/>
        <w:tblLook w:val="04A0" w:firstRow="1" w:lastRow="0" w:firstColumn="1" w:lastColumn="0" w:noHBand="0" w:noVBand="1"/>
      </w:tblPr>
      <w:tblGrid>
        <w:gridCol w:w="1890"/>
        <w:gridCol w:w="1371"/>
        <w:gridCol w:w="1417"/>
        <w:gridCol w:w="1418"/>
        <w:gridCol w:w="1417"/>
        <w:gridCol w:w="1583"/>
      </w:tblGrid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Учебна литература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Учебници и учебни материали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6D0310" w:rsidRPr="00160EB9" w:rsidTr="00D21BE6">
        <w:tc>
          <w:tcPr>
            <w:tcW w:w="1890" w:type="dxa"/>
          </w:tcPr>
          <w:p w:rsidR="006D0310" w:rsidRPr="00160EB9" w:rsidRDefault="006D0310" w:rsidP="00D21BE6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  <w:tc>
          <w:tcPr>
            <w:tcW w:w="1371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  <w:vAlign w:val="center"/>
          </w:tcPr>
          <w:p w:rsidR="006D0310" w:rsidRPr="00160EB9" w:rsidRDefault="006D0310" w:rsidP="00D21BE6">
            <w:pPr>
              <w:pStyle w:val="ListParagraph"/>
              <w:keepNext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6D0310" w:rsidRPr="00160EB9" w:rsidRDefault="006D0310" w:rsidP="006D031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Проведени срещи със студентите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Ежегодна среща с първокурсниците (ОКС „бакалавър“) в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поднаправление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Финанси, счетоводство и финансов контрол, на която </w:t>
      </w:r>
      <w:r w:rsidRPr="00160EB9">
        <w:rPr>
          <w:rFonts w:ascii="Times New Roman" w:hAnsi="Times New Roman" w:cs="Times New Roman"/>
          <w:sz w:val="28"/>
          <w:szCs w:val="28"/>
        </w:rPr>
        <w:lastRenderedPageBreak/>
        <w:t>студентите се запознават с учебните планове на  специалностите  към трите катедри на ФСФ.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Ежегодна среща със студентите в четвърти курс на обучението в спец. „Счетоводство“ и спец. „Финанси и счетоводство с преподаване на английски език“ (ОКС „бакалавър“), на която студентите се запознават с начина на провеждане на държавния изпит и с възможностите за продължаване на обучението си в ОКС „магистър“.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Ежегодни срещи на научните ръководители на специалностите в ОКС „магистър“ със студентите в първи семестър на обучението, на които студентите се запознават с представени учебните планове на съответната специалност.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Ежегодна срещи на научните ръководители на специалностите в ОКС „магистър“ със студентите в последен семестър на обучението, на които студентите се запознават с  изискванията към изготвянето на дипломните работи и процедурите  по определянето на научни ръководители на дипломни работи.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Организирани и проведени дни на отворените врати за студентите от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поднаправление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"Финанси, счетоводство и контрол" в периода 14–18.05.2018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Организирани и проведени дни на отворените врати за студентите от катедра "Счетоводство и анализ" в периода 13–17.05.2019 г.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Работа със студенти и докторанти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Организирана и проведена Шеста студентска кръгла маса на тема „Концептуална структура – същност и перспективи на развитие“ – април 2017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„ФСФ“ ООД – УНСС на Международния панаир на тренировъчните фирми ТФ ФЕСТ 2017 – април 2017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Организиран курс „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”  лектор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Austill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Jackson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Tennessee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USA – май 2017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за студенти на УНСС (съвместно с Institute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Chartered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Accountants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Wales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(ICAEW) и в партньорство с BDO, Grant Thornton и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Stephens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) – май 2017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Организиран и проведен майсторски клас Майсторски клас с PROF. DR HAB. ZBIGNIEW W LESZCZYNSKI,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Dean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Mamagement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Lodz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Technology със студентите от специалност "Финанси и счетоводство с преподаване на английски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език" – май 2017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Организиран и проведен семинар 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>“Open the Door to Your International Career”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>(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съвместно с 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ICAEW и MDV Professional Education”) – 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октомври 2017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 и проведен майсторски клас по счетоводство с лектор доц. д-р Бойка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Брезоева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– януари 2018 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Организирана и проведена прожекция на 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>“False Assurance” –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първия образователен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Pr="00160EB9">
        <w:rPr>
          <w:rFonts w:ascii="Times New Roman" w:hAnsi="Times New Roman" w:cs="Times New Roman"/>
          <w:iCs/>
          <w:sz w:val="28"/>
          <w:szCs w:val="28"/>
        </w:rPr>
        <w:t>филм на Института на дипломираните експерт-счетоводители на Англия и Уелс (ICAEW) – 23</w:t>
      </w:r>
      <w:r w:rsidRPr="00160EB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60EB9">
        <w:rPr>
          <w:rFonts w:ascii="Times New Roman" w:hAnsi="Times New Roman" w:cs="Times New Roman"/>
          <w:iCs/>
          <w:sz w:val="28"/>
          <w:szCs w:val="28"/>
        </w:rPr>
        <w:t>03.2018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„ФСФ“ ООД – УНСС на Международния панаир на тренировъчните фирми ТФ ФЕСТ 2017 – 25-26.04.2018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Организирани и проведени лекции 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Assistant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Prof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.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Sara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Trucco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от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University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International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Studies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Rome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 (UNINT),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Italy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,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Faculty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Economics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, на тема "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link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between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financial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management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Role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Voluntary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Non-Financial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Forward-Looking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Disclosure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Within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Financial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Information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)" пред студентите от специалност "Финанси и счетоводство с преподаване на английски език" – 25-26.04.2018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 и проведен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Workshop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УНСС (съвместно с ICAEW, PricewaterhouseCoopers и Grant Thornton) – 15.05.2018     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Проведени публични лекции на проф. д-р Румяна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Пожаревска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("Интелектуалният капитал и нематериалните активи на предприятията - счетоводни аспекти") и на доц. д-р Михаил Мусов ("Висшето образование по счетоводство - проблеми и перспективи") – 16.05.2018     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Организирана и проведена лекция 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Assoc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Prof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.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José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Aguado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от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University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Granada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Spain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), Department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Finance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, на тема "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Financial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Reporting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Spanish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Case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" пред студентите от специалност "Финанси и счетоводство с преподаване на английски език" – 25.05.2018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Организирана и проведена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iCs/>
          <w:sz w:val="28"/>
          <w:szCs w:val="28"/>
          <w:lang w:val="en-GB"/>
        </w:rPr>
        <w:t>Session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УНСС (съвместно с ICAEW, AFA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Deloitte, Grant Thornton,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Moore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Stephens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PwC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) – 21.11.2018   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Организирана и проведена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Session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ФСФ  – 21.11.2018     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Катедра "Счетоводство и анализ" съвместно с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Institute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Charterered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Accountants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England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Wales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(ICAEW) организираха и проведоха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Session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ФСФ. </w:t>
      </w: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Работодатели партньори на събитието бяха AFA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Deloitte, Grant Thornton,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Moore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Stephens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PwC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Организирано и проведено обучение под надслов „Как да стана успешен професионалист?“ – 27.11.2018     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Финансово-счетоводният факултет и Асоциацията на сертифицираните експерти по разкриване на измами (АСЕРИ-България) проведоха  обучение  под надслов „Как да стана успешен професионалист“. Обучението беше осъществено  със съдействието и подкрепата на един от  световните лидерите в областта  на дигиталните портфейли и онлайн разплащанията - компанията „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Пейсейф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- България“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Организиран и проведен Заключителен етап на Националния конкурс по счетоводство за средношколци (съвместно от УНСС, Асоциацията на икономическите училища в България (АИУБ), Обединената редакция за книги и периодика „Мисъл“ и Института на дипломираните експерт-счетоводители (ИДЕС) – 01.12.2019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 и проведен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уоркшоп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ФСФ съвместно с ABLE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Activator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– 06.12.2018     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Катедра „Счетоводство и анализ“ и ABLE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Activator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проведоха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уоркшоп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за студенти на ФСФ, на който представиха възможности за развитие на личностните и лидерски умения (в т.ч. креативност, критично мислене и решаване на проблеми, комуникация и др.), както и за изграждане на устойчив бизнес модел за създаване на стойност в съвременните организации. Лектор 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уоркшопа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бе г-жа Кремена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Дервенкова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- организационен лидер на ABLЕ.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Проведена публична лекция на доц. д-р Атанаска Филипова -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Сланчева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("Предизвикателства пред счетоводството и анализа в банките от промени в приложимата правна рамка") – 09.01.2019     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Проведена публична лекция на доц. д-р Мария Маркова ("Публично-частно партньорство - същност и отчетна рамка") – 09.01.2019     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Организирано и проведено събитие в рамките на Меморандума за сътрудничество между УНСС (ФСФ) и MDV Professional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– 11.02.2019     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По покана на ръководството на MDV Professional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доц. д-р Мария Маркова – преподавател в катедра „Счетоводство и анализ“, взе участие в церемонията по завършване на възпитаници на професионалната организация. Доц. д-р Маркова запозна учениците с възможностите за продължаващо обучение в УНСС и връчи сертификати на отличниците. Събитието е потвърждение на </w:t>
      </w: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>изградената и добре функционираща връзка между средното образование, висшето образование и професионалните организации.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Организиран и проведен семинар "ICAEW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Univeristy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Student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Scheme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(USS)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" за студенти и докторанти на ФСФ – 13.03.2019 г. 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Катедра "Счетоводство и анализ" съвместно с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Institute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Charterered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Accountants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England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Wales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(ICAEW) организираха и проведоха ICAEW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Univeristy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Student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Scheme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(USS)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Employability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Skills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" за студенти и докторанти на ФСФ. Работодатели партньори на събитието бяха AFA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Deloitte,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Moore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Stephens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 xml:space="preserve">, MV Consulting и </w:t>
      </w:r>
      <w:proofErr w:type="spellStart"/>
      <w:r w:rsidRPr="00160EB9">
        <w:rPr>
          <w:rFonts w:ascii="Times New Roman" w:hAnsi="Times New Roman" w:cs="Times New Roman"/>
          <w:iCs/>
          <w:sz w:val="28"/>
          <w:szCs w:val="28"/>
        </w:rPr>
        <w:t>PwC</w:t>
      </w:r>
      <w:proofErr w:type="spellEnd"/>
      <w:r w:rsidRPr="00160EB9">
        <w:rPr>
          <w:rFonts w:ascii="Times New Roman" w:hAnsi="Times New Roman" w:cs="Times New Roman"/>
          <w:iCs/>
          <w:sz w:val="28"/>
          <w:szCs w:val="28"/>
        </w:rPr>
        <w:t>. В рамките на партньорското споразумение между двете институции, ICAEW осигури безплатен достъп до ресурси за обучение на студенти и докторанти на УНСС.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Организиран и проведен Майсторски клас за студенти и докторанти на тема "Голямата промяна - МСФО 16 Лизинги" с лектор Боряна Тодорова - старши мениджър от EY. (Форумът е в рамките на сключен меморандум за сътрудничество между EY и УНСС) – 04.04.2019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Организиран и проведен Майсторски клас, воден от проф. д-р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Kiymet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Tunca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Caliyurt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декан на Факултета по икономически и административни науки при Тракийския университет в Одрин (Турция) – 17-19.05.2019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„ФСФ“ ООД – УНСС на Международния панаир на тренировъчните фирми ТФ ФЕСТ 2019 – Пловдив – април 2019 г. 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Промени в начина на провеждане на изпити /въвеждане на електронни изпити/ по отделни дисциплини и обсъждане на резултатите</w:t>
      </w:r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Въведен електронен изпит по общо 12 учебни дисциплини.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Въведен електронен държавен изпит за спец. „Счетоводство“, ОКС „бакалавър“, РО.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Проведени анкетни проучвания сред студентите за оценка на качеството на обучението.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отчетния период в катедра „Счетоводство и анализ“ са проведени общо 14 анкетни проучвания сред студентите с цел оценка качеството на обучението.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Обсъдени на катедрени съвети резултати от проведени изпити.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lastRenderedPageBreak/>
        <w:t xml:space="preserve">Резултатите от проведените изпити се обсъждат общо 4 пъти/година, както следва: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Обсъждане на резултатите от семестриалните изпити – зимна сесия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Обсъждане на резултатите от семестриалните изпити – лятна сесия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Обсъждане на резултатите от редовната сесия (ДИ и защитите на дипломни работи)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Обсъждане на резултатите от редовната поправителна сесия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Обсъдени на катедрени съвети посещения на лекции и упражнения на редовни и хонорувани преподаватели.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отчетния период в катедра „Счетоводство и анализ“ са проведени общо 11 обсъждания на посещенията във връзка с атестации на преподаватели.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Защитени докторски дисертации – 5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През отчетния период в катедра „Счетоводство и анализ“ са успешно защитени общо 5 бр. докторски дисертации, както следва: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Докторант Николай Кацарски, тема: Финансови отчети на застрахователите - теория, методология и практика, научен ръководител: проф. д-р Стоян Стоянов (Дата на защита: 14.06.2017 г.)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Докторант Мартин Танчев, тема: Проблеми при счетоводното отчитане и одита на проекти, финансирани от европейски фондове и международни институции, научен ръководител: проф. д-р Румяна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Пожаревска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(Дата на защита: 14.06.2017 г.)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Докторант Илонка Денева, тема: Методика за анализ на финансовото равновесие на предприятието - състояние и насоки за усъвършенстване, научен ръководител: доц. д-р Росица Иванова (Дата на защита: 09.05.2017 г.)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Докторант Теодора Златанова, тема: Методологични и приложни аспекти на счетоводството в органите на съдебната власт в Република България, научен ръководител: доц. д-р Камелия Савова (Дата на защита: 08.02.2017 г.)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Докторант Джеймс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Йоловски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тема: „Теоретико-методологични аспекти на бюджетирането в организациите с нестопанска цел (по примера на фондация)“, научен ръководител: доц. д-р Теодора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Рупска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(Дата на защита: 04.11.2019 г.)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Обсъдени проекти за зачисляване в докторантура на самостоятелна подготовка – 1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Докторант на самостоятелна подготовка – г-жа Здравка Костадинова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Киричева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(Заповед № 1076/24.04.2019 г.), тема: „Теоретико-приложни аспекти на счетоводното отчитане на стоковите операции в търговските предприятия“, научен ръководител: доц. д-р Лилия Рангелова.</w:t>
      </w:r>
    </w:p>
    <w:p w:rsidR="006D0310" w:rsidRPr="00160EB9" w:rsidRDefault="006D0310" w:rsidP="006D0310">
      <w:pPr>
        <w:pStyle w:val="ListParagraph"/>
        <w:spacing w:before="120" w:after="12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b/>
          <w:sz w:val="28"/>
          <w:szCs w:val="28"/>
        </w:rPr>
        <w:t>Други мероприятия на катедрата, свързани с учебната дейност</w:t>
      </w:r>
    </w:p>
    <w:p w:rsidR="006D0310" w:rsidRPr="00160EB9" w:rsidRDefault="006D0310" w:rsidP="006D03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През отчетния период преподаватели от катедра „Счетоводство и анализ“ са участвали в следните основни мероприятия, свързани с учебната дейност: </w:t>
      </w:r>
    </w:p>
    <w:p w:rsidR="006D0310" w:rsidRPr="00160EB9" w:rsidRDefault="006D0310" w:rsidP="006D031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обучение на преподаватели от съвместната акредитирана програма по счетоводство, финанси и финансов контрол (проведено от ICAEW) – декември 2016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ICAEW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2017, гр. Лондон, Великобритания – януари 2017 г.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кариерен форум „Професии на бъдещето“ 2017, организиран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от„Junior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“ България – април 2017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конференция на тема „Образование и обучение“, организирана от ИДЕС и ICAEW – юни 2017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ICAEW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2018, гр. Лондон, Великобритания – януари 2018 г.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международна конференция на тема „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Behavioural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Auditing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“, гр. Одрин, Турция – октомври 2018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Петия международен конгрес по финанси и счетоводство, гр. Измир, Турция – октомври 2018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ICAEW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2019 в гр. Лондон, Великобритания – 15-18.01.2019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годишната среща с представители на ICAEW. (Срещата се организира </w:t>
      </w:r>
      <w:r w:rsidRPr="00160EB9">
        <w:rPr>
          <w:rFonts w:ascii="Times New Roman" w:hAnsi="Times New Roman" w:cs="Times New Roman"/>
          <w:sz w:val="28"/>
          <w:szCs w:val="28"/>
        </w:rPr>
        <w:lastRenderedPageBreak/>
        <w:t>в рамките на сключения меморандум и договорни отношения между ИДЕС, ICAEW и УНСС) – 25-26.03.2019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Международна научна конференция на Университета - Болоня, Италия – 09.04.2019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Участие на преподаватели от катедра „Счетоводство и анализ“ в Петия Международен конгрес по икономика и бизнес в гр. Бурса, Турция – 9-14.04.2019 г. 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Петата международна научна конференция по мениджмънт в гр. Истанбул, Турция – 24.05.2019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кръгла маса на тема "Ефективност на публичните разходи" (зала "Изток" на Народното събрание) – 25.06.2019 г.</w:t>
      </w:r>
    </w:p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2043432"/>
      <w:r w:rsidRPr="00160EB9">
        <w:rPr>
          <w:rFonts w:ascii="Times New Roman" w:hAnsi="Times New Roman" w:cs="Times New Roman"/>
          <w:sz w:val="28"/>
          <w:szCs w:val="28"/>
        </w:rPr>
        <w:t>Участие на ръководителя на катедра „Счетоводство и анализ“ във форум „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Constitution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Reinventing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World“, гр.  Варшава, Полша – 31.05.2019 г.</w:t>
      </w:r>
    </w:p>
    <w:bookmarkEnd w:id="1"/>
    <w:p w:rsidR="006D0310" w:rsidRPr="00160EB9" w:rsidRDefault="006D0310" w:rsidP="006D031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Участие на преподаватели от катедра „Счетоводство и анализ“ в Международна научна конференция в гр. Берлин, Германия, 29-31.08.2019 г.</w:t>
      </w:r>
    </w:p>
    <w:p w:rsidR="006D0310" w:rsidRPr="00160EB9" w:rsidRDefault="006D0310" w:rsidP="006D0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C12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Доклад за учебната дейност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br/>
        <w:t xml:space="preserve">в катедра “Финанси“ </w:t>
      </w:r>
      <w:r w:rsidRPr="00160EB9">
        <w:rPr>
          <w:rFonts w:ascii="Times New Roman" w:hAnsi="Times New Roman" w:cs="Times New Roman"/>
          <w:b/>
          <w:sz w:val="28"/>
          <w:szCs w:val="28"/>
        </w:rPr>
        <w:br/>
        <w:t>за периода ноември 2015 – ноември 2019</w:t>
      </w:r>
    </w:p>
    <w:p w:rsidR="006D0310" w:rsidRPr="00160EB9" w:rsidRDefault="006D0310" w:rsidP="006D0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b/>
          <w:bCs/>
          <w:sz w:val="28"/>
          <w:szCs w:val="28"/>
        </w:rPr>
        <w:t>Участие в проекти, свързани с повишаване на качеството на обучението – 0.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b/>
          <w:bCs/>
          <w:sz w:val="28"/>
          <w:szCs w:val="28"/>
        </w:rPr>
        <w:t>Обсъдени и приети нови учебни планове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За ОКС „Магистър”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Приет е</w:t>
      </w:r>
      <w:r w:rsidRPr="0016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>изцяло нов учебен план в съвместната магистърска програма с катедра МИО „Международни финанси и бизнес“ през 2017 г..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Магистър, редовно обучение, 1 година на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>Специалност „Финанси“ в ОКС Магистър, редовно обучение, 1.5 години на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Магистър, редовно обучение, 2 години на обучение; учебен план приет на КС от  15 януари 2018 г. и ФС от 15 януари 2018 г. ; утвърден на АС с протокол № 1 от 24 януари 2018 г..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 година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1.5 година обучение; учебен план приет на КС от  15 януари 2018 г. и ФС от 15 януари 2018 г. ; утвърден на АС с протокол № 1 от 24 януари 2018 г..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1 година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1,5 година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2 години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редовно обучение, 1 година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редовно обучение, 1,5 година обучение; учебен план приет на КС от  15 януари 2018 г. и ФС от 15 януари 2018 г. ; утвърден на АС с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1 година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1,5 година обучение; учебен план приет на КС от  15 януари 2018 г. и ФС от 15 януари 2018 г. ; утвърден на АС с протокол №.1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2 години обучение; учебен план приет на КС от  15 януари 2018 г. и ФС от 15 януари 2018 г. ; утвърден на АС с протокол №.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>Специалност „Публични финанси“ в ОКС Магистър, дистанционно обучение, 1 година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дистанционно обучение, 1,5 година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дистанционно обучение, 2 години обучение;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Специалност „Финанси“ в ОКС Магистър, редовно обучение, 1 година на обучение; учебен план приет на КС от  4 юни 2018 г. 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Магистър, редовно обучение, 1.5 година 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Магистър, редовно обучение, 2 години 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1.5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1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1,5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редовно обучение, 2 години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редовно обучение, 1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Специалност „Публични финанси“ в ОКС Магистър, редовно обучение, 1,5 година обучение; учебен план приет на КС от  4 юни 2018 г. 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1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1,5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2 години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дистанционно обучение, 1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>Специалност „Публични финанси“ в ОКС Магистър, дистанционно обучение, 1,5 година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дистанционно обучение, 2 години обучение; учебен план приет на КС от  4 юни 2018 г.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Специалност „Международно банкиране и финансови пазари“ в ОКС Магистър, редовно обучение, 1 година обучение; учебен план приет на КС от  28 февруари 2019 г. и ФС 28 февруари 2019 г.; 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„Международно банкиране и финансови пазари“ в ОКС Магистър, редовно обучение, 1.5 години обучение; учебен план приет на КС от  28 февруари 2019 г. и ФС 28 февруари 2019 г.;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 xml:space="preserve">Специалност „Публичен финансов мениджмънт“ в ОКС Магистър, редовно обучение, 1 година обучение; учебен план приет на КС от  28 февруари 2019 г. и ФС 28 февруари 2019 г.; </w:t>
      </w:r>
    </w:p>
    <w:p w:rsidR="006D0310" w:rsidRPr="00160EB9" w:rsidRDefault="006D0310" w:rsidP="006D031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„Публичен финансов мениджмънт“ в ОКС Магистър, редовно обучение, 1.5 години обучение; учебен план приет на КС от  28 февруари 2019 г. и ФС 28 февруари 2019 г.</w:t>
      </w:r>
    </w:p>
    <w:p w:rsidR="006D0310" w:rsidRPr="00160EB9" w:rsidRDefault="006D0310" w:rsidP="006D0310">
      <w:pPr>
        <w:pStyle w:val="ListParagraph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За ОКС „Бакалавър“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Приет е през 2017 г. изцяло нов учебен план за специалност „Финанси“, с акцент върху разширяване на присъствието на специалните финансови дисциплини в четвърти курс.</w:t>
      </w:r>
    </w:p>
    <w:p w:rsidR="006D0310" w:rsidRPr="00160EB9" w:rsidRDefault="006D0310" w:rsidP="006D0310">
      <w:pPr>
        <w:pStyle w:val="ListParagraph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Бакалавър, редовно обучение, 4 години на обучение, валиден за 2018/2019, редовно обучение; учебен план приет на КС от 15 януари 2018 г. и ФС от 15 януари 2018 г.; утвърден на АС с протокол №1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Бакалавър, дистанционно обучение, 4 години на обучение, валиден за 201</w:t>
      </w:r>
      <w:r w:rsidRPr="00160EB9">
        <w:rPr>
          <w:rFonts w:ascii="Times New Roman" w:hAnsi="Times New Roman" w:cs="Times New Roman"/>
          <w:iCs/>
          <w:sz w:val="28"/>
          <w:szCs w:val="28"/>
          <w:lang w:val="en-US"/>
        </w:rPr>
        <w:t>8</w:t>
      </w:r>
      <w:r w:rsidRPr="00160EB9">
        <w:rPr>
          <w:rFonts w:ascii="Times New Roman" w:hAnsi="Times New Roman" w:cs="Times New Roman"/>
          <w:iCs/>
          <w:sz w:val="28"/>
          <w:szCs w:val="28"/>
        </w:rPr>
        <w:t>/201</w:t>
      </w:r>
      <w:r w:rsidRPr="00160EB9">
        <w:rPr>
          <w:rFonts w:ascii="Times New Roman" w:hAnsi="Times New Roman" w:cs="Times New Roman"/>
          <w:iCs/>
          <w:sz w:val="28"/>
          <w:szCs w:val="28"/>
          <w:lang w:val="en-US"/>
        </w:rPr>
        <w:t>9</w:t>
      </w:r>
      <w:r w:rsidRPr="00160EB9">
        <w:rPr>
          <w:rFonts w:ascii="Times New Roman" w:hAnsi="Times New Roman" w:cs="Times New Roman"/>
          <w:iCs/>
          <w:sz w:val="28"/>
          <w:szCs w:val="28"/>
        </w:rPr>
        <w:t>; учебен план приет на КС от  15 януари 2018 г. и ФС от 15 януари 2018 г. ; утвърден на АС с протокол № 1 от 24 януари 2018 г.</w:t>
      </w:r>
    </w:p>
    <w:p w:rsidR="006D0310" w:rsidRPr="00160EB9" w:rsidRDefault="006D0310" w:rsidP="006D0310">
      <w:pPr>
        <w:pStyle w:val="ListParagraph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Обсъдени и приети частични промени в учебните планове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в ОКС „Магистър”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 година обучение; учебен план приет на КС от 14 април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„Банково дело и международни финанси“ в ОКС Магистър, редовно обучение, 1.5 година; учебен план приет на КС от 14 април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>Специалност „Финансов мениджмънт“ в ОКС Магистър, редовно обучение, 2 години обучение; учебен план приет на КС от 6 юни 2016 г. и ФС от 6 юни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„Финансов мениджмънт“ в ОКС Магистър, дистанционно обучение, 2 години обучение; учебен план приет на КС от 6 юни 2016 г. и ФС от 6 юни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редовно обучение, 2 години обучение; учебен план приет на КС от 6 юни 2016 г. и ФС от 6 юни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„Публични финанси“ в ОКС Магистър, дистанционно обучение, 2 години обучение; учебен план приет на КС от 6 юни 2016 г. и ФС от 6 юни 2016 г.; утвърден на АС с протокол №3 от 13 юли 2016 г.</w:t>
      </w:r>
    </w:p>
    <w:p w:rsidR="006D0310" w:rsidRPr="00160EB9" w:rsidRDefault="006D0310" w:rsidP="006D031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„Европейски бизнес и финанси“ в ОКС Магистър, редовно обучение, 2 години обучение; учебен план, приет на КС от 17 октомври 2016 г. и ФС от 24 октомври 2016 г.; приет на АС с протокол №4 от 3-5 ноември 2016г.</w:t>
      </w:r>
    </w:p>
    <w:p w:rsidR="006D0310" w:rsidRPr="00160EB9" w:rsidRDefault="006D0310" w:rsidP="006D0310">
      <w:pPr>
        <w:pStyle w:val="ListParagraph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в ОКС „Бакалавър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Специалност „Финанси“ в ОКС Бакалавър, редовно обучение, 4 години на обучение, валиден за випуск 2014/2015; за випуск 2015/2016; за випуск 2016/2017; учебен план приет на КС от 10 юли 2017 г. и ФС от 10 юли 2017 г.; утвърден на АС с протокол № 5 от 12 юли 2017 г.</w:t>
      </w:r>
    </w:p>
    <w:p w:rsidR="006D0310" w:rsidRPr="00160EB9" w:rsidRDefault="006D0310" w:rsidP="006D031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Специалност „Финанси“ в ОКС Бакалавър, редовно обучение, 4 години на обучение, валиден за випуск 2017/2018 ; учебен план приет на КС от 26 юни 2017 г. и ФС от 10 юли 2017 г.; утвърден на АС с протокол №5 от 12 юли 2017 г.</w:t>
      </w:r>
    </w:p>
    <w:p w:rsidR="006D0310" w:rsidRPr="00160EB9" w:rsidRDefault="006D0310" w:rsidP="006D03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Специалност „Финанси“</w:t>
      </w:r>
      <w:r w:rsidRPr="00160EB9">
        <w:rPr>
          <w:rFonts w:ascii="Times New Roman" w:hAnsi="Times New Roman" w:cs="Times New Roman"/>
          <w:iCs/>
          <w:sz w:val="28"/>
          <w:szCs w:val="28"/>
        </w:rPr>
        <w:t xml:space="preserve"> в ОКС Бакалавър, редовно обучение, 4 години на обучение</w:t>
      </w:r>
      <w:r w:rsidRPr="00160EB9">
        <w:rPr>
          <w:rFonts w:ascii="Times New Roman" w:hAnsi="Times New Roman" w:cs="Times New Roman"/>
          <w:sz w:val="28"/>
          <w:szCs w:val="28"/>
        </w:rPr>
        <w:t>, валиден от 2017/2018 (за випуск 2014/2015; за випуск 2015/2016 и за випуск 2016/2017.</w:t>
      </w:r>
    </w:p>
    <w:p w:rsidR="006D0310" w:rsidRPr="00160EB9" w:rsidRDefault="006D0310" w:rsidP="006D03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Бакалавър, редовно обучение, 4 години на обучение, валиден за випуск 2015/2016; за випуск 2016/2017; учебен план приет на КС от 15 януари 2018 г. и ФС от 15 януари 2018 г. г.; утвърден на АС с протокол № 1 от 24 януари 2018 г.</w:t>
      </w:r>
    </w:p>
    <w:p w:rsidR="006D0310" w:rsidRPr="00160EB9" w:rsidRDefault="006D0310" w:rsidP="006D03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Специалност „Финанси“ в ОКС Бакалавър, редовно обучение, 4 години на обучение, валиден за 2018/2019, редовно обучение; учебен план приет на КС от 4 юни 2018 г. </w:t>
      </w:r>
    </w:p>
    <w:p w:rsidR="006D0310" w:rsidRPr="00160EB9" w:rsidRDefault="006D0310" w:rsidP="006D03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iCs/>
          <w:sz w:val="28"/>
          <w:szCs w:val="28"/>
        </w:rPr>
        <w:t>Специалност „Финанси“ в ОКС Бакалавър, дистанционно обучение, 4 години на обучение, валиден за 201</w:t>
      </w:r>
      <w:r w:rsidRPr="00160EB9">
        <w:rPr>
          <w:rFonts w:ascii="Times New Roman" w:hAnsi="Times New Roman" w:cs="Times New Roman"/>
          <w:iCs/>
          <w:sz w:val="28"/>
          <w:szCs w:val="28"/>
          <w:lang w:val="en-US"/>
        </w:rPr>
        <w:t>8</w:t>
      </w:r>
      <w:r w:rsidRPr="00160EB9">
        <w:rPr>
          <w:rFonts w:ascii="Times New Roman" w:hAnsi="Times New Roman" w:cs="Times New Roman"/>
          <w:iCs/>
          <w:sz w:val="28"/>
          <w:szCs w:val="28"/>
        </w:rPr>
        <w:t>/201</w:t>
      </w:r>
      <w:r w:rsidRPr="00160EB9">
        <w:rPr>
          <w:rFonts w:ascii="Times New Roman" w:hAnsi="Times New Roman" w:cs="Times New Roman"/>
          <w:iCs/>
          <w:sz w:val="28"/>
          <w:szCs w:val="28"/>
          <w:lang w:val="en-US"/>
        </w:rPr>
        <w:t>9</w:t>
      </w:r>
      <w:r w:rsidRPr="00160EB9">
        <w:rPr>
          <w:rFonts w:ascii="Times New Roman" w:hAnsi="Times New Roman" w:cs="Times New Roman"/>
          <w:iCs/>
          <w:sz w:val="28"/>
          <w:szCs w:val="28"/>
        </w:rPr>
        <w:t>; учебен план приет на КС от 4 юни 2018 г.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Обсъдени и приети актуализирани учебни програми по учебните планове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за ОКС „Магистър“ </w:t>
      </w:r>
    </w:p>
    <w:p w:rsidR="006D0310" w:rsidRPr="00160EB9" w:rsidRDefault="006D0310" w:rsidP="006D0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2017 г. и 2018 г. са актуализирани всички учебни програми в учебните планове на: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„Финанси“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2 г., редовно обучение; 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„Банково дело и международни финанси“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редовно обучение; 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„Финансов мениджмънт“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2 г., редовно и дистанционно обучение;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„Публични финанси“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2 г., редовно и дистанционно обучение; 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„Макроикономика и финанси“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1.5 г., редовно обучение;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„Международни финанси и бизнес“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редовно обучение.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2019 г. са актуализирани учебни програми на: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„Публичен финансов мениджмънт“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редовно и дистанционно обучение; </w:t>
      </w:r>
    </w:p>
    <w:p w:rsidR="006D0310" w:rsidRPr="00160EB9" w:rsidRDefault="006D0310" w:rsidP="006D031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„Международно банкиране и финансови пазари“</w:t>
      </w:r>
      <w:r w:rsidRPr="00160EB9">
        <w:rPr>
          <w:rFonts w:ascii="Times New Roman" w:hAnsi="Times New Roman" w:cs="Times New Roman"/>
          <w:sz w:val="28"/>
          <w:szCs w:val="28"/>
        </w:rPr>
        <w:t xml:space="preserve"> 1 г., 1.5 г., редовно обучение; </w:t>
      </w:r>
    </w:p>
    <w:p w:rsidR="006D0310" w:rsidRPr="00160EB9" w:rsidRDefault="006D0310" w:rsidP="006D031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за ОКС „Бакалавър“ 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2017 г. и през 2018 г. са актуализирани всички учебни програми в учебния план на</w:t>
      </w:r>
      <w:r w:rsidRPr="0016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Pr="00160EB9">
        <w:rPr>
          <w:rFonts w:ascii="Times New Roman" w:hAnsi="Times New Roman" w:cs="Times New Roman"/>
          <w:b/>
          <w:sz w:val="28"/>
          <w:szCs w:val="28"/>
        </w:rPr>
        <w:t>„Финанси“.</w:t>
      </w:r>
    </w:p>
    <w:p w:rsidR="006D0310" w:rsidRPr="00160EB9" w:rsidRDefault="006D0310" w:rsidP="006D0310">
      <w:pPr>
        <w:pStyle w:val="ListParagraph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lastRenderedPageBreak/>
        <w:t>Обезпечаване на учебния процес с учебници и учебни материали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i/>
          <w:sz w:val="28"/>
          <w:szCs w:val="28"/>
        </w:rPr>
        <w:t>Публикувани монографии</w:t>
      </w:r>
      <w:r w:rsidRPr="00160EB9">
        <w:rPr>
          <w:rFonts w:ascii="Times New Roman" w:hAnsi="Times New Roman" w:cs="Times New Roman"/>
          <w:sz w:val="28"/>
          <w:szCs w:val="28"/>
        </w:rPr>
        <w:t>: 23 бр.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>Ненков, Д., “Определяне на стойността на компаниите“, монография, ИК на УНСС, София, 2015 г., 316 стр.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>Трифонова, С., Управление на риска в банката, Изд. „Тракия-М”, София, 2015 г.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Михайлова-Борисова. Г., Банковата ефективност и икономическият растеж в условията на паричния съвет в България“, Издателски комплекс УНСС, 2015 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Йоцов, В., Външна среда и фискален сектор, гл. І и гл. ІІ.3 в Годишен доклад на Института за икономически изследвания при БАН 2015, </w:t>
      </w:r>
      <w:proofErr w:type="spellStart"/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>ГорексПрес</w:t>
      </w:r>
      <w:proofErr w:type="spellEnd"/>
      <w:r w:rsidRPr="00160EB9">
        <w:rPr>
          <w:rFonts w:ascii="Times New Roman" w:hAnsi="Times New Roman" w:cs="Times New Roman"/>
          <w:color w:val="000000" w:themeColor="text1"/>
          <w:sz w:val="28"/>
          <w:szCs w:val="28"/>
        </w:rPr>
        <w:t>, ISBN 978-954-616-248-9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Йоцов, В.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Икономическо развитие и политики в България: Оценки и очаквания, Институт за икономически изследвания при БАН, 2016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Ivanova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V. „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Euro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Adoption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Opportunities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Challenges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“,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Chapter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„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Eurozone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Enlargement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Prospect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New EU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Member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States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Euro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Adoption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 (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Koyama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Y.,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Editor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pp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173-190.,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Nova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Science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Publishers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New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York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2016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Тасева-Петкова, Г., Търговско кредитиране и финансово състояние на фирмите, 256с., ИК-УНСС, 2016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Трифонова, С., Трифонова, В., Атанасов, А., Колев, С., Неконвенционалната парична политика на водещите централни банки в света и нейните ефекти за развитите и развиващите се държави, в т.ч. и за България,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Евдемония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продъкшън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ЕООД, ISBN: 978-619-7209-23-5, 2017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Йоцов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В.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Външната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среда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през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2016 г.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Доклад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на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ИИИ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при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БАН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2017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17-27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Йоцов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В.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Фискална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политика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държавен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дълг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Доклад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на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ИИИ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при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БАН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2017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47-63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Райков, Е., Интегриран подход при управлението на оборотния капитал в условията на финансова и икономическа криза, 236 с., ИК-УНСС, 2017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Казанджиева, И., Доктрината TOO BIG TO FAIL, 311с., Запад-Изток, 2017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Иванова, В., "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Секюритизацията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активи като алтернативен източник за финансиране на малките и средни предприятия", Колективна монография на тема: „Икономиката на България и Европейския съюз – наука и бизнес”, ИК-УНСС,  Финансово-счетоводен факултет, УНСС, ВУЗФ, София, Университет на гр. Болоня, Италия, Полтавски университет по икономика и търговия, Украйна,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Луцкий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НУ, 2017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Ненков, Д., Митева-Бончева, Д., Първанова Р., Касабов, М. (2018 г.)  Проблеми на определяне цената на капитала в условията на формиращи се капиталови пазари (на примера на България), ИК на УНСС, ISBN: 978-619-232-124-6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Михайлова, М.,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Р.Пожаревска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С.Трифонова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Д.Ненков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Т.Дончев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М.Мусов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М.Маркова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Г.Ранчев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(2019). Изследване на възможностите за адаптиране на учебни програми към изискванията на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Association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Chartered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Certified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Accountants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(ACCA) (под печат – до края на март, ИК на УНСС)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Ненкова,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П..Тенденции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развитието на процеса на фискална децентрализация в периода 2004-2016г.Колективна монография „Икономиката на България и Европейския съюз в глобалния свят” / Финансова политика, финансови пазари, банково дело, инвестиции, застраховане и социално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осигуряване.ФСФ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УНСС, 2018, с. 174-177. ISBN (978-619-232-090-4)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Трифонова, С., Колев, Св., Атанасов, Ат.,  ЕФЕКТИ ОТ ИНОВАТИВНАТА НЕКОНВЕНЦИОНАЛНА ПАРИЧНА ПОЛИТИКА НА ЦЕНТРАЛНИТЕ БАНКИ,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Евдемония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продъкшън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ЕООД, София, 2018 г., ISBN: 978-619-7209-29-7. (Колективна монография)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Трифонова, С., “Някои аргументи „за” и „против”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криптовалутите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”, В Колективна монография на тема „ИКОНОМИКАТА НА БЪЛГАРИЯ И ЕВРОПЕЙСКИЯ СЪЮЗ В ГЛОБАЛНИЯ СВЯТ. ФИНАНСОВА ПОЛИТИКА, ФИНАНСОВИ ПАЗАРИ, БАНКОВО ДЕЛО, ИНВЕСТИЦИИ, МЕНИДЖМЪНТ, МАРКЕТИНГ, ПРЕДПРИЕМАЧЕСТВО, КОРПОРАТИВЕН КОНТРОЛ И РАЗВИТИЕ НА БИЗНЕСА В БЪЛГАРИЯ И В ЕС”, УНСС, София, 2018 г., Издателски комплекс – УНСС, София, 2018 г., с. 227-248. ISBN: 978-619-232-090-4.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докторант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Андронова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И., Трифонова, С., “Мостово финансиране при усвояване на средства по оперативни програми. Специфични рискове при кредитиране”, В Колективна монография на тема „Икономиката на България и Европейския съюз в глобалния свят. Финансова политика, финансови пазари, банково дело, инвестиции, мениджмънт, маркетинг, предприемачество, корпоративен контрол и развитие на бизнеса в България и в ЕС”, УНСС, София, 2018 г., Издателски комплекс – УНСС, София, 2018 г., с. 298-307. ISBN: 978-619-232-090-4.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Йоцов В., Годишен доклад на ИИИ при БАН, Резюме, Част първа (1), (2), (7) и (8),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ГорексПрес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София, 2018, ISSN 1314-8893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Иванова, В. (2018), „Десет години след началото на глобалната финансова криза: нови регламенти на Европейския съюз за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секюритизацията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активи“, „Икономиката на България и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Европейския съюз в глобалния свят“, Колективна монография на Финансово-счетоводен факултет - УНСС, ВУЗФ, ЛНТУ-Украйна, ПУЭТ-Украйна, Департамент по мениджмънт – Университет на гр. Болоня – Италия, Издателски комплекс – УНСС, София,  стр. 260-274.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Ivanova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V. A. (2018), „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Eleven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Years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after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Accession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European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Union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A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Review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from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Banking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Sector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Perspective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“, „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Bulgaria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Environmental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Social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Economic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Challenges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 (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Danailov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T. R.,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Editor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New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York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pp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185-215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(реферирано издание в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Scopus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D0310" w:rsidRPr="00160EB9" w:rsidRDefault="006D0310" w:rsidP="006D0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Кънева А., „Развитие на банките в страните членки на Европейския съюз, които са извън еврозоната – Великобритания, Дания, Швеция, Полша, Унгария, Чехия, България, Румъния и Хърватска през периода 2007 – 2016 г.“, Колективна монографии на тема: „Икономиката на България и Европейския съюз в глобалния свят”, Финансово-счетоводен факултет, УНСС, ВУЗФ, София, Департамент по мениджмънт на Университета на гр. Болоня, Италия, Полтавски университет по икономика и търговия, Украйна,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Луцкий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национален технически университет, Украйна, Факултет по икономика на Университета на гр. Сплит – Хърватска, Технологичен университет на гр. </w:t>
      </w:r>
      <w:proofErr w:type="spellStart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Лодзк</w:t>
      </w:r>
      <w:proofErr w:type="spellEnd"/>
      <w:r w:rsidRPr="00160E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Полша, Издателски комплекс - УНСС, София, 2018 г., с. 275-285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EB9">
        <w:rPr>
          <w:rFonts w:ascii="Times New Roman" w:hAnsi="Times New Roman" w:cs="Times New Roman"/>
          <w:i/>
          <w:sz w:val="28"/>
          <w:szCs w:val="28"/>
        </w:rPr>
        <w:t>Учебници и помагала</w:t>
      </w:r>
    </w:p>
    <w:p w:rsidR="006D0310" w:rsidRPr="00160EB9" w:rsidRDefault="006D0310" w:rsidP="006D03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На катедрен съвет са обсъдени и положително рецензирани </w:t>
      </w:r>
      <w:r w:rsidRPr="00160EB9">
        <w:rPr>
          <w:rFonts w:ascii="Times New Roman" w:hAnsi="Times New Roman" w:cs="Times New Roman"/>
          <w:b/>
          <w:sz w:val="28"/>
          <w:szCs w:val="28"/>
        </w:rPr>
        <w:t>5 нови учебника: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Брусарски, Р., А. Захариев, Г.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Манлиев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Финансова теория, Изд. „ФАБЕР“, Велико Търново, 2015 – глави 2, 3, 4, 5, 6 и 7 (135 страници).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Манов,Б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. Корпоративни финанси. С. 2016., Изд. МБ Хоум, 184 с.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Митев, П., „Корпоративни финанси с Excel”, ИК-УНСС, София, 2016 г.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Манлиев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Г.„Нов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мениджмънт в публичния сектор“, 2017 г. 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Брусарски, Р., „Оценка на въздействието“, 2017 г.</w:t>
      </w:r>
    </w:p>
    <w:p w:rsidR="006D0310" w:rsidRPr="00160EB9" w:rsidRDefault="006D0310" w:rsidP="006D031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Подготвени и рецензирани положително учебници за целите на ДО: 2 бр.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Ненков, Д., „Определяне на стойността на предприятие“, учебник за дистанционна форма на обучение, ИК на УНСС, София, 2018 г., 319 стр., (ISBN 978-619-232-061-4)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Трифонова, С., Михайлова-Борисова, Г., Кънева, А.,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Ковачевич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Джонев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, С., МЕЖДУНАРОДНИ ФИНАНСИ, Учебник за дистанционно обучение при УНСС, Център за дистанционно </w:t>
      </w:r>
      <w:r w:rsidRPr="00160EB9">
        <w:rPr>
          <w:rFonts w:ascii="Times New Roman" w:hAnsi="Times New Roman" w:cs="Times New Roman"/>
          <w:sz w:val="28"/>
          <w:szCs w:val="28"/>
        </w:rPr>
        <w:lastRenderedPageBreak/>
        <w:t>обучение, Издателски комплекс – УНСС, София, 16.04.2018 г., ISSN: 978-619-232-067-6. (Учебник)</w:t>
      </w:r>
    </w:p>
    <w:p w:rsidR="006D0310" w:rsidRPr="00160EB9" w:rsidRDefault="006D0310" w:rsidP="006D03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На катедрен съвет е обсъдено и прието едно </w:t>
      </w:r>
      <w:r w:rsidRPr="00160EB9">
        <w:rPr>
          <w:rFonts w:ascii="Times New Roman" w:hAnsi="Times New Roman" w:cs="Times New Roman"/>
          <w:b/>
          <w:sz w:val="28"/>
          <w:szCs w:val="28"/>
        </w:rPr>
        <w:t>ново учебно помагало</w:t>
      </w:r>
      <w:r w:rsidRPr="00160EB9">
        <w:rPr>
          <w:rFonts w:ascii="Times New Roman" w:hAnsi="Times New Roman" w:cs="Times New Roman"/>
          <w:sz w:val="28"/>
          <w:szCs w:val="28"/>
        </w:rPr>
        <w:t xml:space="preserve"> - „Корпоративно финансово планиране“ с автор гл. ас. д-р Галя Тасева, 2019 г.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EB9">
        <w:rPr>
          <w:rFonts w:ascii="Times New Roman" w:hAnsi="Times New Roman" w:cs="Times New Roman"/>
          <w:i/>
          <w:sz w:val="28"/>
          <w:szCs w:val="28"/>
        </w:rPr>
        <w:t>Учебни материали</w:t>
      </w:r>
    </w:p>
    <w:p w:rsidR="006D0310" w:rsidRPr="00160EB9" w:rsidRDefault="006D0310" w:rsidP="006D031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Подготвени материали за целите на дистанционно обучение:</w:t>
      </w:r>
    </w:p>
    <w:p w:rsidR="006D0310" w:rsidRPr="00160EB9" w:rsidRDefault="006D0310" w:rsidP="006D0310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По дисциплината „Финанси на социалното осигуряване“ в специалност „Публични финанси“ – проф. д-р Богомил Манов</w:t>
      </w:r>
    </w:p>
    <w:p w:rsidR="006D0310" w:rsidRPr="00160EB9" w:rsidRDefault="006D0310" w:rsidP="006D0310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По дисциплината „Парична теория и парична политика-първо равнище“ в специалност „Финансов мениджмънт“ – доц. д-р Г. Михайлова-Борисова</w:t>
      </w:r>
    </w:p>
    <w:p w:rsidR="006D0310" w:rsidRPr="00160EB9" w:rsidRDefault="006D0310" w:rsidP="006D0310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По дисциплината „Корпоративно финансово планиране“ в специалност „Финансов мениджмънт“ –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гл.ас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. д-р Галя Тасева</w:t>
      </w:r>
    </w:p>
    <w:p w:rsidR="006D0310" w:rsidRPr="00160EB9" w:rsidRDefault="006D0310" w:rsidP="006D031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Срещи със студентите</w:t>
      </w:r>
    </w:p>
    <w:p w:rsidR="006D0310" w:rsidRPr="00160EB9" w:rsidRDefault="006D0310" w:rsidP="006D0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На 27 март 2019 г. е проведена среща между студентите от спец. „Финанси“, 4 курс, и Ръководството на катедра „Финанси“.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Работа със студенти и докторанти</w:t>
      </w:r>
    </w:p>
    <w:p w:rsidR="006D0310" w:rsidRPr="00160EB9" w:rsidRDefault="006D0310" w:rsidP="006D0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разглеждания период студентите и докторантите са взели участие в 27 форума и конференции, част от които организирани с участието на катедра „Финанси“: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4903"/>
        <w:gridCol w:w="1293"/>
        <w:gridCol w:w="938"/>
        <w:gridCol w:w="1670"/>
      </w:tblGrid>
      <w:tr w:rsidR="006D0310" w:rsidRPr="00160EB9" w:rsidTr="00D21BE6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ФОРУМ / ТЕМА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Брой участ</w:t>
            </w: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ници*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Място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Икономиката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ългария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вропейския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съюз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онкурентоспособност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иновации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Международна научна конференция на младите учени, ФСФ</w:t>
            </w: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15.12.2015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Годишна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международна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научна конференция на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Центъра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парични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икономически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изследвания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катедра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„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Финанси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“: „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MONETARY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POLICIES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BALKAN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REGION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THE FUTURE OF THE EURO AND EUROZONE IN THE </w:t>
            </w:r>
            <w:proofErr w:type="gram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BALKANS.“</w:t>
            </w:r>
            <w:proofErr w:type="gram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D0310" w:rsidRPr="00160EB9" w:rsidRDefault="006D0310" w:rsidP="00D2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( д.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Ивайла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Димитрова, д. Галя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Манчева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д.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Димитър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Чобанов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15-16 Октомври 2015 г.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 –общо, 3 от УНСС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Икономиката на България и Европейския съюз: наука и бизнес, Международна научна конференция на младите учени, ФСФ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11.11.2016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Семинар на катедра „Финанси“ и Центъра по парични и икономически изследвания (ЦПИИ) Официална среща с декана на Факултета по правни и икономически науки, към Университета Мохамед V-ти в Рабат, Мароко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12.02.2016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УНСС, малка конферентна зала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Европа-Балканите-Русия, 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Jean-Paul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Guichard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personam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Jean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Monet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Chair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'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EU,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France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13.05.2016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УНСС, малка конферентна зала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Годишна международна научна конференция на Центъра по парични и икономически изследвания и катедра „Финанси“ и 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INFER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„MONETARY POLICIES IN THE BALKAN REGION. THE FUTURE OF THE EURO AND EUROZONE IN THE BALKANS.“ </w:t>
            </w:r>
          </w:p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(д. София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Касидова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д. Ивайла Димитрова, д. Димитър Чобанов)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13-14 Октомври 2016 г.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 общо, от УНСС-3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Юбилейна научно-практическа конференция по повод на 65 години от създаването на ФСФ при УНСС-София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16.11.2017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Икономиката на България и Европейския съюз в глобалния свят, Международна научна конференция на младите учени, ФСФ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17.11.2017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Годишна международна научна конференция на Центъра по парични и икономически изследвания, катедра „Финанси“, СИБ и 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CRIISEA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 MONETARY AND ECONOMIC SCIENTIFIC CONFERENCE - MONETARY REGIMES. 20 YEARS OF CURRENCY BOARD IN BULGARIA.</w:t>
            </w:r>
          </w:p>
          <w:p w:rsidR="006D0310" w:rsidRPr="00160EB9" w:rsidRDefault="006D0310" w:rsidP="00D21BE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д.Свилен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Колев, д. Ивайла Димитрова, д. Димитър Чобанов)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12-13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октомври 2017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Общо 12 доктор. – от УНСС 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EUROPE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after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BREXIT, 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Prof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Antonio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Magliulo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10.03.2017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УНСС, малка конферентна зала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New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type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graduate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school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aimed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at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developing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young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future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leaders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transition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emerging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developing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countries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drivers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challenges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Доц. Димитър </w:t>
            </w:r>
            <w:proofErr w:type="spellStart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Ялнъзов</w:t>
            </w:r>
            <w:proofErr w:type="spellEnd"/>
            <w:r w:rsidRPr="00160E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 Университета в Киото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27.03.2017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УНСС, Зала Тържествена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Идеите за социален кредит и институциите в България и Европа от 19в. до Втората световна война 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Д-р Християн Атанасов, Д-р Цветелина Маринова НБУ, Д-р Петър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Стоянов,УНСС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24.04.2017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Зала Научни съвети 2032А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Irreversible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Path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Fracture</w:t>
            </w:r>
            <w:proofErr w:type="spellEnd"/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Gordon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Kerr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Cavin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O’Driscoll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Cobden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Partners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LTD, UK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28.04.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Семинар на катедра „Финанси“ и Центъра по парични и икономически изследвания (ЦПИИ)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Multivariate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series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analysis</w:t>
            </w:r>
            <w:proofErr w:type="spellEnd"/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AMINE LAHIANI, 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Associate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Professor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at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University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Orleans</w:t>
            </w:r>
            <w:proofErr w:type="spellEnd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France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12.06.</w:t>
            </w: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УНСС,</w:t>
            </w:r>
          </w:p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Компютърна зала, практическа лекция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Bulgarian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Bank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Forum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Infrastructure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Growth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"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Sofia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April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д.София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Касидова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София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Annual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Forum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Economic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League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European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Cooperation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Paris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with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presentation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Convergence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Bulgaria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Eurozone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countries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role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national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promotional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banks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д.София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Касидова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Париж, Франция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Дискусионен панел на тема „Изграждане на устойчив паричен съюз в ЕС. Какви ще бъдат ефектите за страните, задължени да се присъединят към него, съгласно Договора за функциониране на ЕС“, в рамките на събитието Клуб Инвестор „Банки и финанси“, проведено на 9 май 2018 г. в Capital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София. Гост на събитието бе г-н Калин Христов, подуправител, ръководещ управление „Емисионно“, на Българска народна банка. В панела участие взеха г-н Дончо Донев, началник управление „Капиталови 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пазари“ в Пощенска банка, г-н Христос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Кацанис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финансов консултант, ас. Димитър Чобанов, преподавател в катедра „Финанси“ на УНСС, г-н Кристофор Павлов, главен икономист, „Уникредит Булбанк“. Повече информация на </w:t>
            </w:r>
            <w:hyperlink r:id="rId5" w:history="1">
              <w:r w:rsidRPr="00160EB9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http://club.investor.bg/</w:t>
              </w:r>
            </w:hyperlink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д.Свилен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Колев бе модератор на панела.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9.05.2018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Capital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Fort</w:t>
            </w:r>
            <w:proofErr w:type="spellEnd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София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Международна научна конференция, „ЕС – изместеният център и новата периферия“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д.С.Джонев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д.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А.Стоева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д.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Н.Карамилева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д.В.Василева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д.С.Колев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д.Теодора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Петрова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УОБ на УНСС, с. Равда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XIX годишна конференция по финанси и счетоводство (19th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Annual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Finance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Accounting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(ACFA)), организирана от Факултета по финанси и счетоводство (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Faculty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Finance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Accounting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на Икономическия университет в Прага, Чехия, проведена на 25 май 2018 г. в Икономическия университет в Прага. Авторът е отличен с приз „Най-добър докторантски доклад“ (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Best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Doctoral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Paper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Award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), връчен от Икономическия университет в Прага, Чехия, и чешкото подразделение на одиторската компания Grant Thornton. Сборникът с доклади от конференцията със заглавие “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Global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Local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Perspectives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Finance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Accounting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19th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Annual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Finance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Accounting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(ACFA 2018)“, предстои да бъде издаден от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Springer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Proceedings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Economics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през май 2019 г. (ISBN 978-3-030-11851-8). Повече информация на </w:t>
            </w: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https://www.springer.com/us/book/9783030118501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Тема на доклада: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negative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interest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rates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Evidence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from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Bulgaria</w:t>
            </w:r>
            <w:proofErr w:type="spellEnd"/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 Свилен Колев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25.05.2018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Прага, Чехия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във франкофонското докторантско състезание – „Моята теза в 180 секунди“ – в рамките на три минути трябва да се представи темата на дисертацията на френски по интересен и нетрадиционен начин, така че да бъде разбрана от широката аудитория. Целта на конкурса е да се популяризира докторантската форма на обучение и френският език като език за правене на наука.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Докторантката Николета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Карамилева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заема почетното второ място за България.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8.06.2018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Френски институт, София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като представител на БАУД в EFAMA в Работна Група “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Investors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” за повишаване на грамотността и обучение на инвеститорите (решение на УС на Българската Асоциация на Управляващите Дружества от 31.05.2018 г.).Прилагам Дневен ред на ЕFAMA AGM, 22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June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 за очертаване на основните приоритети на действие на различните комитети.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д.Наталия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Петрова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Лимасол, Кипър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Четвърта годишна конференция на Центъра по парични изследвания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д.И.Димитрова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д.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Н.Карамилева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д.Т.Димитрова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Четиринадесета Международна научна конференция на младите учени „Икономиката на България и Европейския Съюз в дигиталния свят”, УНСС, ФСФ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д.А.Стоева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д.С.Колев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(член на ОК на конференцията),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д.Т.Димитрова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д. Теодора Петрова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УНСС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конференция „Данните Ви крият бизнес тайни“, Конференцията събира на едно място мениджъри и експерти от финансовия сектор - банкови институции, кредитни и застрахователни компании, инвестиционни посредници. Дискутирани са теми, свързани с анализ и управление на данни от бизнес и IT перспектива.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д.Анита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Стоева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Организатор: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Paraflow</w:t>
            </w:r>
            <w:proofErr w:type="spellEnd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Communications</w:t>
            </w:r>
            <w:proofErr w:type="spellEnd"/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Участие в курс: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Teaching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Principles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Practices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I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consisted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series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seminars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collaborative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workshops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grounded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current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Economics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general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literature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workshops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provided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platform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discussion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how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findings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relate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our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specific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teaching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contexts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how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they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can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support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out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success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teaching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courses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д.Анита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Стоева, д. Ивайла Димитрова,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д.Таня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Димитрова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21.01 до 25.01.2019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УНСС, Организатор: CERGE-EI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Teaching</w:t>
            </w:r>
            <w:proofErr w:type="spellEnd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Euromoney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CEE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Vienna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January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2019.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д. София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Касидова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60E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Vienna</w:t>
            </w:r>
            <w:proofErr w:type="spellEnd"/>
            <w:r w:rsidRPr="00160E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60E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Austria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IX Международна научна конференция на катедра "Финанси" на УНСС "Ударната вълна на информационния взрив и предефинирането на финансите"</w:t>
            </w:r>
          </w:p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д. Наталия Петрова; д. Александър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Годумов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 д. Камелия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Рупска</w:t>
            </w:r>
            <w:proofErr w:type="spellEnd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 д. Теодора Петрова; д. Таня Павлова; д. Николета </w:t>
            </w:r>
            <w:proofErr w:type="spellStart"/>
            <w:r w:rsidRPr="00160E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Карамилева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310" w:rsidRPr="00160EB9" w:rsidRDefault="006D0310" w:rsidP="00D21B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18-20.05.2019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УОБ на УНСС, Равда</w:t>
            </w:r>
          </w:p>
        </w:tc>
      </w:tr>
      <w:tr w:rsidR="006D0310" w:rsidRPr="00160EB9" w:rsidTr="00D21BE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 брой участници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10" w:rsidRPr="00160EB9" w:rsidRDefault="006D0310" w:rsidP="00D21B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310" w:rsidRPr="00160EB9" w:rsidRDefault="006D0310" w:rsidP="00D21B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D0310" w:rsidRPr="00160EB9" w:rsidRDefault="006D0310" w:rsidP="006D031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310" w:rsidRPr="00160EB9" w:rsidRDefault="006D0310" w:rsidP="006D0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Учебници с участието на докторанти:</w:t>
      </w:r>
    </w:p>
    <w:p w:rsidR="006D0310" w:rsidRPr="00160EB9" w:rsidRDefault="006D0310" w:rsidP="006D0310">
      <w:pPr>
        <w:pStyle w:val="ListParagraph"/>
        <w:widowControl w:val="0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</w:pPr>
      <w:r w:rsidRPr="00160EB9">
        <w:rPr>
          <w:rFonts w:ascii="Times New Roman" w:hAnsi="Times New Roman" w:cs="Times New Roman"/>
          <w:color w:val="000000" w:themeColor="text1"/>
          <w:sz w:val="28"/>
          <w:szCs w:val="28"/>
          <w:lang w:val="mk-MK"/>
        </w:rPr>
        <w:t>Трифонова, С., Михайлова-Борисова, Г., Кънева, А., Ковачевич, М., Джонев, С., Международни финанси, Учебник за дистанционно обучение при УНСС, Център за дистанционно обучение, Издателски комплекс – УНСС, София, 16.04.2018 г., ISSN: 978-619-232-067-6. (Учебник)</w:t>
      </w:r>
    </w:p>
    <w:p w:rsidR="006D0310" w:rsidRPr="00160EB9" w:rsidRDefault="006D0310" w:rsidP="006D0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Промени в начина на провеждане на изпити /въвеждане на електронни изпити/ по отделни дисциплини и обсъждане на резултатите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Проведени анкетни проучвания сред студентите за оценка на качеството на обучението.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Проведени анкетни проучвания на 24 преподавателя общо за периода ноември 2015-2019 г. ( за 2017 г. - 12, за 2018 г. – 7, за 2019 г. 4 и 1 му предстои атестиране)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Регулярно се</w:t>
      </w:r>
      <w:r w:rsidRPr="0016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 xml:space="preserve">провеждат анкетни проучвания от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доц.Милев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 xml:space="preserve"> във връзка със СУК. Проведени са анкетни проучвания сред студентите за преподавателите, подлежащи на атестиране – 24 преподавателя. Резултатите са обсъдени на КС с оглед и на атестирането на преподавателите през отчетния период.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Обсъдени на катедрени съвети резултати от проведени изпити.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Редовно се обсъждат резултатите от Държавния изпит на специалност „Финанси” за ОКС Бакалавър;</w:t>
      </w:r>
    </w:p>
    <w:p w:rsidR="006D0310" w:rsidRPr="00160EB9" w:rsidRDefault="006D0310" w:rsidP="006D03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Редовно се обсъждат резултатите от Защитата на дипломни работи на всички специалности, водени от катедра „Финанси” в ОКС Магистър.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 Обсъдени на катедрени съвети посещения на лекции и упражнения на редовни и хонорувани преподаватели.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>Защитени докторски дисертации.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Успешно защитени  15 бр. докторски дисертации , с автори, както следва: 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Десислава Калчева, 2016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Златин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Съръстов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2017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Лиляна Маринова, 2017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Стойчевска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2017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Марио Касабов, 2017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Ангел Ангелов, 2018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Милен Марков, 2018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Ивайло Тасков, 2018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Валя Василева,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Илия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Площаков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Светослав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Джонев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Даниел Касабов,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Свилен Колев,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Ивайла Димитрова, 2019</w:t>
      </w:r>
    </w:p>
    <w:p w:rsidR="006D0310" w:rsidRPr="00160EB9" w:rsidRDefault="006D0310" w:rsidP="006D0310">
      <w:pPr>
        <w:pStyle w:val="ListParagraph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Дончо</w:t>
      </w:r>
      <w:r w:rsidRPr="00160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>Донев, 2019</w:t>
      </w:r>
    </w:p>
    <w:p w:rsidR="006D0310" w:rsidRPr="00160EB9" w:rsidRDefault="006D0310" w:rsidP="006D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10" w:rsidRPr="00160EB9" w:rsidRDefault="006D0310" w:rsidP="006D0310">
      <w:pPr>
        <w:pStyle w:val="ListParagraph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t xml:space="preserve"> Обсъдени проекти за зачисляване в докторантура на самостоятелна подготовка – 3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- Валя Василева, Илия </w:t>
      </w:r>
      <w:proofErr w:type="spellStart"/>
      <w:r w:rsidRPr="00160EB9">
        <w:rPr>
          <w:rFonts w:ascii="Times New Roman" w:hAnsi="Times New Roman" w:cs="Times New Roman"/>
          <w:sz w:val="28"/>
          <w:szCs w:val="28"/>
        </w:rPr>
        <w:t>Площаков</w:t>
      </w:r>
      <w:proofErr w:type="spellEnd"/>
      <w:r w:rsidRPr="00160EB9">
        <w:rPr>
          <w:rFonts w:ascii="Times New Roman" w:hAnsi="Times New Roman" w:cs="Times New Roman"/>
          <w:sz w:val="28"/>
          <w:szCs w:val="28"/>
        </w:rPr>
        <w:t>, Милен Марков</w:t>
      </w: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Други мероприятия на катедрата, свързани с учебната дейност</w:t>
      </w:r>
    </w:p>
    <w:p w:rsidR="006D0310" w:rsidRPr="00160EB9" w:rsidRDefault="006D0310" w:rsidP="006D031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10" w:rsidRPr="00160EB9" w:rsidRDefault="006D0310" w:rsidP="006D031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От 2017 г. всяка година катедра „Финанси“ провежда подготовка на два отбора /по 5 участника в отбор/ студенти за участие в</w:t>
      </w:r>
      <w:r w:rsidRPr="0016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B9">
        <w:rPr>
          <w:rFonts w:ascii="Times New Roman" w:hAnsi="Times New Roman" w:cs="Times New Roman"/>
          <w:sz w:val="28"/>
          <w:szCs w:val="28"/>
        </w:rPr>
        <w:t>с</w:t>
      </w:r>
      <w:r w:rsidRPr="00160EB9">
        <w:rPr>
          <w:rFonts w:ascii="Times New Roman" w:hAnsi="Times New Roman" w:cs="Times New Roman"/>
          <w:color w:val="000000"/>
          <w:sz w:val="28"/>
          <w:szCs w:val="28"/>
        </w:rPr>
        <w:t xml:space="preserve">ъстезанието CFA </w:t>
      </w:r>
      <w:proofErr w:type="spellStart"/>
      <w:r w:rsidRPr="00160EB9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16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EB9">
        <w:rPr>
          <w:rFonts w:ascii="Times New Roman" w:hAnsi="Times New Roman" w:cs="Times New Roman"/>
          <w:color w:val="000000"/>
          <w:sz w:val="28"/>
          <w:szCs w:val="28"/>
        </w:rPr>
        <w:t>Challenge</w:t>
      </w:r>
      <w:proofErr w:type="spellEnd"/>
      <w:r w:rsidRPr="00160EB9">
        <w:rPr>
          <w:rFonts w:ascii="Times New Roman" w:hAnsi="Times New Roman" w:cs="Times New Roman"/>
          <w:color w:val="000000"/>
          <w:sz w:val="28"/>
          <w:szCs w:val="28"/>
        </w:rPr>
        <w:t xml:space="preserve">. Студентите се обучават в магистърските програми на катедра „Финанси“ – „Финансов мениджмънт“ и „Финанси“, а  академични наставници на двата отбора бяха </w:t>
      </w:r>
      <w:proofErr w:type="spellStart"/>
      <w:r w:rsidRPr="00160EB9">
        <w:rPr>
          <w:rFonts w:ascii="Times New Roman" w:hAnsi="Times New Roman" w:cs="Times New Roman"/>
          <w:color w:val="000000"/>
          <w:sz w:val="28"/>
          <w:szCs w:val="28"/>
        </w:rPr>
        <w:t>доц.д</w:t>
      </w:r>
      <w:proofErr w:type="spellEnd"/>
      <w:r w:rsidRPr="00160EB9">
        <w:rPr>
          <w:rFonts w:ascii="Times New Roman" w:hAnsi="Times New Roman" w:cs="Times New Roman"/>
          <w:color w:val="000000"/>
          <w:sz w:val="28"/>
          <w:szCs w:val="28"/>
        </w:rPr>
        <w:t xml:space="preserve">-р  Димитър Ненков и </w:t>
      </w:r>
      <w:proofErr w:type="spellStart"/>
      <w:r w:rsidRPr="00160EB9">
        <w:rPr>
          <w:rFonts w:ascii="Times New Roman" w:hAnsi="Times New Roman" w:cs="Times New Roman"/>
          <w:color w:val="000000"/>
          <w:sz w:val="28"/>
          <w:szCs w:val="28"/>
        </w:rPr>
        <w:t>гл.ас</w:t>
      </w:r>
      <w:proofErr w:type="spellEnd"/>
      <w:r w:rsidRPr="00160EB9">
        <w:rPr>
          <w:rFonts w:ascii="Times New Roman" w:hAnsi="Times New Roman" w:cs="Times New Roman"/>
          <w:color w:val="000000"/>
          <w:sz w:val="28"/>
          <w:szCs w:val="28"/>
        </w:rPr>
        <w:t xml:space="preserve">. д-р Иван Костов. Студентското състезание се провежда на глобално ниво под егидата на професионалната организация на сертифицираните финансови аналитици CFA Institute и дава възможност на студенти с икономически профил на обучение да приложат на практика познанията си за изготвянето на финансов анализ на публична компания. </w:t>
      </w:r>
    </w:p>
    <w:p w:rsidR="006D0310" w:rsidRPr="00160EB9" w:rsidRDefault="006D0310" w:rsidP="006D0310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310" w:rsidRPr="00160EB9" w:rsidRDefault="006D0310" w:rsidP="006D031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През 2017 г. участваха в състезанието 7 отбора от 5 университета, както следва:</w:t>
      </w:r>
    </w:p>
    <w:p w:rsidR="006D0310" w:rsidRPr="00160EB9" w:rsidRDefault="006D0310" w:rsidP="006D0310">
      <w:pPr>
        <w:pStyle w:val="ListParagraph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Свободен университет Варна – 1 отбор</w:t>
      </w:r>
    </w:p>
    <w:p w:rsidR="006D0310" w:rsidRPr="00160EB9" w:rsidRDefault="006D0310" w:rsidP="006D0310">
      <w:pPr>
        <w:pStyle w:val="ListParagraph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Икономически университет Варна – 2 отбора</w:t>
      </w:r>
    </w:p>
    <w:p w:rsidR="006D0310" w:rsidRPr="00160EB9" w:rsidRDefault="006D0310" w:rsidP="006D0310">
      <w:pPr>
        <w:pStyle w:val="ListParagraph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СА „Д.А. Ценов“ Свищов – 1 отбор</w:t>
      </w:r>
    </w:p>
    <w:p w:rsidR="006D0310" w:rsidRPr="00160EB9" w:rsidRDefault="006D0310" w:rsidP="006D0310">
      <w:pPr>
        <w:pStyle w:val="ListParagraph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 – 2 отбора</w:t>
      </w:r>
    </w:p>
    <w:p w:rsidR="006D0310" w:rsidRPr="00160EB9" w:rsidRDefault="006D0310" w:rsidP="006D0310">
      <w:pPr>
        <w:pStyle w:val="ListParagraph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>Американски университет – 1 отбор</w:t>
      </w:r>
    </w:p>
    <w:p w:rsidR="006D0310" w:rsidRPr="00160EB9" w:rsidRDefault="006D0310" w:rsidP="006D0310">
      <w:pPr>
        <w:jc w:val="both"/>
        <w:rPr>
          <w:rFonts w:ascii="Times New Roman" w:hAnsi="Times New Roman" w:cs="Times New Roman"/>
          <w:sz w:val="28"/>
          <w:szCs w:val="28"/>
        </w:rPr>
      </w:pPr>
      <w:r w:rsidRPr="00160EB9">
        <w:rPr>
          <w:rFonts w:ascii="Times New Roman" w:hAnsi="Times New Roman" w:cs="Times New Roman"/>
          <w:sz w:val="28"/>
          <w:szCs w:val="28"/>
        </w:rPr>
        <w:t xml:space="preserve">Единият отбор на УНСС се класира на </w:t>
      </w:r>
      <w:r w:rsidRPr="00160EB9">
        <w:rPr>
          <w:rFonts w:ascii="Times New Roman" w:hAnsi="Times New Roman" w:cs="Times New Roman"/>
          <w:b/>
          <w:sz w:val="28"/>
          <w:szCs w:val="28"/>
        </w:rPr>
        <w:t>второ място</w:t>
      </w:r>
      <w:r w:rsidRPr="00160EB9">
        <w:rPr>
          <w:rFonts w:ascii="Times New Roman" w:hAnsi="Times New Roman" w:cs="Times New Roman"/>
          <w:sz w:val="28"/>
          <w:szCs w:val="28"/>
        </w:rPr>
        <w:t xml:space="preserve"> (след отбора на Американския университет в България). На трето място е отбор от Варна. </w:t>
      </w:r>
    </w:p>
    <w:p w:rsidR="006D0310" w:rsidRPr="00160EB9" w:rsidRDefault="006D0310" w:rsidP="006D0310">
      <w:pPr>
        <w:pStyle w:val="NormalWeb"/>
        <w:jc w:val="both"/>
        <w:rPr>
          <w:b/>
          <w:sz w:val="28"/>
          <w:szCs w:val="28"/>
        </w:rPr>
      </w:pPr>
      <w:r w:rsidRPr="00160EB9">
        <w:rPr>
          <w:b/>
          <w:color w:val="000000"/>
          <w:sz w:val="28"/>
          <w:szCs w:val="28"/>
        </w:rPr>
        <w:t>Доклад</w:t>
      </w:r>
      <w:r w:rsidRPr="00160EB9">
        <w:rPr>
          <w:b/>
          <w:sz w:val="28"/>
          <w:szCs w:val="28"/>
        </w:rPr>
        <w:t xml:space="preserve">  за учебната дейност на катедра “Финансов контрол” за периода 01.11.2015 – 31.10.2019 година </w:t>
      </w:r>
    </w:p>
    <w:p w:rsidR="006D0310" w:rsidRPr="00160EB9" w:rsidRDefault="006D0310" w:rsidP="006D0310">
      <w:pPr>
        <w:pStyle w:val="NormalWeb"/>
        <w:ind w:firstLine="708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При организиране и управление на учебния процес катедрата спазва последователно  нормативната уредба на висшето образование и вътрешните правилници на УНСС. Катедра “Финансов контрол” има утвърдени академични традиции в организацията и управлението на образователния процес, които се обновяват и актуализират в съответствие със законовите промени, динамиката на развитие на специалностите и преподавателския състав и специфичните особености на обучението по специалностите , водени от  катедрата в бакалавърска и магистърска степен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 xml:space="preserve">През отчетния период учебната и научноизследователската дейност продължава да се организира, реализира и контролира по начин, осигуряващ качество на обучението и оценка на крайните резултати от него.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1. Участие в проекти, свързани с повишаване на качеството на обучението.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УНИВЕРСИТЕТСКИ ПРОЕКТ ЗА НАУЧНО ИЗСЛЕДВАНЕ  № НИД НИ 1-9/2015/финансиран със субсидия от Държавния бюджет/"ИЗСЛЕДВАНЕ НА ВЪЗМОЖНОСТИТЕ ЗА ПОДОБРЯВАНЕ НА ОБУЧЕНИЕТО ПО ВЪТРЕШЕН ОДИТ В КОНТЕКСТА НА ИЗИСКВАНИЯТА НА ИНСТИТУТА НА ВЪТРЕШНИТЕ ОДИТОРИ (THE INSTITUTE OF INTERNAL AUDITORS)“ – доц. д-р Даниела Петрова– ръководител, гл. ас. д-р Валерия Динева, гл. ас. д-р Ина Атанасова Лечева, гл. ас. д-р Тома Дончев – членове, 2015-2017 г. резултат разкриване на магистърска програма по Вътрешен одит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През периода 2015-2016 год. продължи работата по проект № НИД НИ 1-1/2014, „Адаптиране на учебни програми към изискванията на Institute </w:t>
      </w:r>
      <w:proofErr w:type="spellStart"/>
      <w:r w:rsidRPr="00160EB9">
        <w:rPr>
          <w:sz w:val="28"/>
          <w:szCs w:val="28"/>
        </w:rPr>
        <w:t>of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Chartered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Accountants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in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England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Wales</w:t>
      </w:r>
      <w:proofErr w:type="spellEnd"/>
      <w:r w:rsidRPr="00160EB9">
        <w:rPr>
          <w:sz w:val="28"/>
          <w:szCs w:val="28"/>
        </w:rPr>
        <w:t xml:space="preserve"> (ICAEW)“, гл. ас. д-р Тома Дончев, </w:t>
      </w:r>
      <w:proofErr w:type="spellStart"/>
      <w:r w:rsidRPr="00160EB9">
        <w:rPr>
          <w:sz w:val="28"/>
          <w:szCs w:val="28"/>
        </w:rPr>
        <w:t>гл.ас</w:t>
      </w:r>
      <w:proofErr w:type="spellEnd"/>
      <w:r w:rsidRPr="00160EB9">
        <w:rPr>
          <w:sz w:val="28"/>
          <w:szCs w:val="28"/>
        </w:rPr>
        <w:t xml:space="preserve">. д-р Георги Ранчев – членове на </w:t>
      </w:r>
      <w:proofErr w:type="spellStart"/>
      <w:r w:rsidRPr="00160EB9">
        <w:rPr>
          <w:sz w:val="28"/>
          <w:szCs w:val="28"/>
        </w:rPr>
        <w:t>на</w:t>
      </w:r>
      <w:proofErr w:type="spellEnd"/>
      <w:r w:rsidRPr="00160EB9">
        <w:rPr>
          <w:sz w:val="28"/>
          <w:szCs w:val="28"/>
        </w:rPr>
        <w:t xml:space="preserve"> колектива. Основни резултати: получена акредитацията на УНСС от Institute </w:t>
      </w:r>
      <w:proofErr w:type="spellStart"/>
      <w:r w:rsidRPr="00160EB9">
        <w:rPr>
          <w:sz w:val="28"/>
          <w:szCs w:val="28"/>
        </w:rPr>
        <w:t>of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Chartered</w:t>
      </w:r>
      <w:proofErr w:type="spellEnd"/>
      <w:r w:rsidRPr="00160EB9">
        <w:rPr>
          <w:sz w:val="28"/>
          <w:szCs w:val="28"/>
        </w:rPr>
        <w:t xml:space="preserve">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proofErr w:type="spellStart"/>
      <w:r w:rsidRPr="00160EB9">
        <w:rPr>
          <w:sz w:val="28"/>
          <w:szCs w:val="28"/>
        </w:rPr>
        <w:t>Accountants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in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England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Wales</w:t>
      </w:r>
      <w:proofErr w:type="spellEnd"/>
      <w:r w:rsidRPr="00160EB9">
        <w:rPr>
          <w:sz w:val="28"/>
          <w:szCs w:val="28"/>
        </w:rPr>
        <w:t xml:space="preserve"> (ICAEW), актуализирани учебни програми, 2014-2016. Целта е на студентите, които кандидатстват за придобиване на квалификацията “регистриран одитор” да бъдат признати изпитите от първо сертификационно ниво. В края на  2015 г. ICAEW акредитира  шестте модула от първо сертификационно ниво за квалификацията „дипломиран експерт-счетоводител” (ICAEW ACA </w:t>
      </w:r>
      <w:proofErr w:type="spellStart"/>
      <w:r w:rsidRPr="00160EB9">
        <w:rPr>
          <w:sz w:val="28"/>
          <w:szCs w:val="28"/>
        </w:rPr>
        <w:t>qualification</w:t>
      </w:r>
      <w:proofErr w:type="spellEnd"/>
      <w:r w:rsidRPr="00160EB9">
        <w:rPr>
          <w:sz w:val="28"/>
          <w:szCs w:val="28"/>
        </w:rPr>
        <w:t>), в това число и две дисциплини, които се водят от Катедра Финансов контрол, а именно „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>“ – приравнена на  „Сигурност“ (“</w:t>
      </w:r>
      <w:proofErr w:type="spellStart"/>
      <w:r w:rsidRPr="00160EB9">
        <w:rPr>
          <w:sz w:val="28"/>
          <w:szCs w:val="28"/>
        </w:rPr>
        <w:t>Assurance</w:t>
      </w:r>
      <w:proofErr w:type="spellEnd"/>
      <w:r w:rsidRPr="00160EB9">
        <w:rPr>
          <w:sz w:val="28"/>
          <w:szCs w:val="28"/>
        </w:rPr>
        <w:t>”) и „Данъчно облагане и данъчен контрол“, приравнена на „Принципи на данъчно облагане“ (“</w:t>
      </w:r>
      <w:proofErr w:type="spellStart"/>
      <w:r w:rsidRPr="00160EB9">
        <w:rPr>
          <w:sz w:val="28"/>
          <w:szCs w:val="28"/>
        </w:rPr>
        <w:t>Principles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of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taxation</w:t>
      </w:r>
      <w:proofErr w:type="spellEnd"/>
      <w:r w:rsidRPr="00160EB9">
        <w:rPr>
          <w:sz w:val="28"/>
          <w:szCs w:val="28"/>
        </w:rPr>
        <w:t xml:space="preserve">”) 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· През м. юли 2017 г в резултат на активната работа на екип на Финансово-счетоводен факултет беше получена акредитация за магистърска програма АCCOUNTING, FINANCIAL CONTROL AND FINANCE /</w:t>
      </w:r>
      <w:proofErr w:type="spellStart"/>
      <w:r w:rsidRPr="00160EB9">
        <w:rPr>
          <w:sz w:val="28"/>
          <w:szCs w:val="28"/>
        </w:rPr>
        <w:t>taught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in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English</w:t>
      </w:r>
      <w:proofErr w:type="spellEnd"/>
      <w:r w:rsidRPr="00160EB9">
        <w:rPr>
          <w:sz w:val="28"/>
          <w:szCs w:val="28"/>
        </w:rPr>
        <w:t xml:space="preserve">/. Магистърската програма, акредитирана по програмата на АССА за Акредитация на университетите, освобождава студентите от осем от 14-те изпита, улеснявайки по този начин процеса на тяхното сертифициране в АССА </w:t>
      </w:r>
      <w:proofErr w:type="spellStart"/>
      <w:r w:rsidRPr="00160EB9">
        <w:rPr>
          <w:sz w:val="28"/>
          <w:szCs w:val="28"/>
        </w:rPr>
        <w:t>Qualification</w:t>
      </w:r>
      <w:proofErr w:type="spellEnd"/>
      <w:r w:rsidRPr="00160EB9">
        <w:rPr>
          <w:sz w:val="28"/>
          <w:szCs w:val="28"/>
        </w:rPr>
        <w:t xml:space="preserve">. От катедра Финансов контрол особено активно и резултатно беше участието на д-р Тома Дончев и д-р Георги Ранчев.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Тези проекти са насочени към актуализиране на учебната документация. Водещ мотив е да се отговори на потребностите на потребителите и затова </w:t>
      </w:r>
      <w:r w:rsidRPr="00160EB9">
        <w:rPr>
          <w:sz w:val="28"/>
          <w:szCs w:val="28"/>
        </w:rPr>
        <w:lastRenderedPageBreak/>
        <w:t xml:space="preserve">повечето проекти се осъществяват с тяхното активно участие. Мнението на потребителите се отчита като ежегодно се провеждат срещи с представители на основните контролни институции, които са най-големия потребител на кадри от специалността.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Разкрита е нова магистърска програма и от началото на учебната 2018/2019 г. стартира обучението по специалност „Противодействие на корупцията“, в магистърската степен. Студентите от специалност “Противодействие на корупцията” получават разширени и задълбочени теоретични и фактологични знания относно важните и съществени аспекти на антикорупционната политика, методите и техниките за идентифициране на корупционни действия и намеси, както и базисна и специална подготовка относно специфични аспекти при управление на секторните антикорупционни политики. Същевременно учебният план е разработен така, че да осигури развиване на умения за управление на процеса по осъществяване и оценка на корупционни действия в корпоративния и публичния сектор.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През </w:t>
      </w:r>
      <w:proofErr w:type="spellStart"/>
      <w:r w:rsidRPr="00160EB9">
        <w:rPr>
          <w:sz w:val="28"/>
          <w:szCs w:val="28"/>
        </w:rPr>
        <w:t>м.април</w:t>
      </w:r>
      <w:proofErr w:type="spellEnd"/>
      <w:r w:rsidRPr="00160EB9">
        <w:rPr>
          <w:sz w:val="28"/>
          <w:szCs w:val="28"/>
        </w:rPr>
        <w:t xml:space="preserve"> 2019 год. Академичният съвет утвърди Магистратура "Вътрешен одит", която трябваше да стартира от учебната 2019/2020 год. Въпреки усилията на академичния състав на катедрата и на привлечените изявени специалисти от практиката, вероятно поради краткото време, не бяха събрани достатъчно кандидати, за да се сформира група по новата магистърска специалност.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Нови учебни планове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За ОКС „Магистър”: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От учебната 2017/2018 год. са в сила  нови учебни планове в ОКС „Магистър”  за специалностите  “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 xml:space="preserve">“ и „Финансов контрол и финансово право“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През същия период е приет нов учебен план и за специалност „Финансово контрол“ /ОКС „Бакалавър“ /.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2. Частични промени в учебните планове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Направени бяха промени в действащия учебен план на ОКС Бакалавър“, така че да съответстват на новите изисквания – отпадане на упражненията по някои от дисциплините, промяна на хорариума и кредитите. Дисциплината „Професионална етика и независимост“ от учебната 2017/2018 г. е включена като задължителна  дисциплина в ОКС „Бакалавър“ за спец. Финансов контрол.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>За специалностите “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 xml:space="preserve">“ и „Финансов контрол и финансово право“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в ОКС „Магистър” са правени частични промени, в сила от 2018/2019 учебна година.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3. актуализирани учебни програми по учебните планове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През отчетния период /ноември 2016/ за ОКС „Магистър“ са актуализирани  9 бр. учебни програми в спец.“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 xml:space="preserve">“ и 11 броя във  „Финансов контрол и финансово право“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За ОКС „Бакалавър“  актуализираните учебни програми са 14.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4. Обезпечаването на учебния процес с учебници и учебни материали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Дисциплината „Финансов контрол“ от учебната 2015/2016 г. е включена като избираема дисциплина в ОКС „Бакалавър“ за </w:t>
      </w:r>
      <w:proofErr w:type="spellStart"/>
      <w:r w:rsidRPr="00160EB9">
        <w:rPr>
          <w:sz w:val="28"/>
          <w:szCs w:val="28"/>
        </w:rPr>
        <w:t>поднаправления</w:t>
      </w:r>
      <w:proofErr w:type="spellEnd"/>
      <w:r w:rsidRPr="00160EB9">
        <w:rPr>
          <w:sz w:val="28"/>
          <w:szCs w:val="28"/>
        </w:rPr>
        <w:t xml:space="preserve"> „Икономика, общество и човешки ресурси“, „Икономика и бизнес“,  „Икономика  и инфраструктура“, „Икономика с чуждоезиково обучение“ и  „Приложна информатика и </w:t>
      </w:r>
      <w:proofErr w:type="spellStart"/>
      <w:r w:rsidRPr="00160EB9">
        <w:rPr>
          <w:sz w:val="28"/>
          <w:szCs w:val="28"/>
        </w:rPr>
        <w:t>иконометрия</w:t>
      </w:r>
      <w:proofErr w:type="spellEnd"/>
      <w:r w:rsidRPr="00160EB9">
        <w:rPr>
          <w:sz w:val="28"/>
          <w:szCs w:val="28"/>
        </w:rPr>
        <w:t xml:space="preserve">“. Обучението по дисциплината е осигурено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своевременно с учебник от авторски колектив под ръководството на проф. Симеонов (Огнян Симеонов, Асенов Емил, Петрова Даниела, Дончев Тома, Лечева Ина, Динева Валерия, Ранчев Георги,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„Финансов контрол“, София, Издателски комплекс УНСС, 2015, 139 с.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„Корпоративна социална отговорност“- учебник за магистърска степен на обучение , първо  издание, 2015 год. ISBN 978-954-644-748-7 , автор </w:t>
      </w:r>
      <w:proofErr w:type="spellStart"/>
      <w:r w:rsidRPr="00160EB9">
        <w:rPr>
          <w:sz w:val="28"/>
          <w:szCs w:val="28"/>
        </w:rPr>
        <w:t>доц.Емил</w:t>
      </w:r>
      <w:proofErr w:type="spellEnd"/>
      <w:r w:rsidRPr="00160EB9">
        <w:rPr>
          <w:sz w:val="28"/>
          <w:szCs w:val="28"/>
        </w:rPr>
        <w:t xml:space="preserve"> Асенов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“Обществени поръчки” - учебник, 2015 г., ИК УНСС –автор доц. Миглена Павлова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През 2016 год. съвместно с колегите от катедра „Счетоводна отчетност и анализ е подготвен и издаден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Сборник от материали за държавен изпит на специалност „Счетоводство и контрол“, ОКС „Бакалавър“, дистанционна форма на обучение.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През периода от </w:t>
      </w:r>
      <w:proofErr w:type="spellStart"/>
      <w:r w:rsidRPr="00160EB9">
        <w:rPr>
          <w:sz w:val="28"/>
          <w:szCs w:val="28"/>
        </w:rPr>
        <w:t>доц</w:t>
      </w:r>
      <w:proofErr w:type="spellEnd"/>
      <w:r w:rsidRPr="00160EB9">
        <w:rPr>
          <w:sz w:val="28"/>
          <w:szCs w:val="28"/>
        </w:rPr>
        <w:t xml:space="preserve"> .Димитър Динев са изготвени   онлайн обучения съответно за дисциплините  “Финансови измами – разкриване и предотвратяване”, магистърска степен, http://www.iepinet.eu/elearn/index.html и обучение за дисциплината </w:t>
      </w:r>
      <w:r w:rsidRPr="00160EB9">
        <w:rPr>
          <w:sz w:val="28"/>
          <w:szCs w:val="28"/>
        </w:rPr>
        <w:lastRenderedPageBreak/>
        <w:t xml:space="preserve">“Вътрешен контрол и вътрешен одит” на магистърска степен специалност “Финансов мениджмънт”.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Преиздадени, след актуализиране,  са учебниците по Системи за управленски контрол и  Данъчен и осигурителен контрол.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5. Срещи със студентите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2017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· Кариерен форум „Професии на бъдещето“ 2017, организиран от ФСФ и „</w:t>
      </w:r>
      <w:proofErr w:type="spellStart"/>
      <w:r w:rsidRPr="00160EB9">
        <w:rPr>
          <w:sz w:val="28"/>
          <w:szCs w:val="28"/>
        </w:rPr>
        <w:t>Junior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Achievement</w:t>
      </w:r>
      <w:proofErr w:type="spellEnd"/>
      <w:r w:rsidRPr="00160EB9">
        <w:rPr>
          <w:sz w:val="28"/>
          <w:szCs w:val="28"/>
        </w:rPr>
        <w:t xml:space="preserve">“ България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Студентска кръгла маса на тема: „Концептуална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структура на счетоводството – същност и перспективи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на развитие“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Бизнес игра със студенти, организирана от ФСФ,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съвместно с Institute </w:t>
      </w:r>
      <w:proofErr w:type="spellStart"/>
      <w:r w:rsidRPr="00160EB9">
        <w:rPr>
          <w:sz w:val="28"/>
          <w:szCs w:val="28"/>
        </w:rPr>
        <w:t>of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Chartered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Accountants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in</w:t>
      </w:r>
      <w:proofErr w:type="spellEnd"/>
      <w:r w:rsidRPr="00160EB9">
        <w:rPr>
          <w:sz w:val="28"/>
          <w:szCs w:val="28"/>
        </w:rPr>
        <w:t xml:space="preserve">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proofErr w:type="spellStart"/>
      <w:r w:rsidRPr="00160EB9">
        <w:rPr>
          <w:sz w:val="28"/>
          <w:szCs w:val="28"/>
        </w:rPr>
        <w:t>England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and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Wales</w:t>
      </w:r>
      <w:proofErr w:type="spellEnd"/>
      <w:r w:rsidRPr="00160EB9">
        <w:rPr>
          <w:sz w:val="28"/>
          <w:szCs w:val="28"/>
        </w:rPr>
        <w:t xml:space="preserve"> (ICAEW)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Първа международна научно-практическа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конференция на тема „Дигитални измами и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proofErr w:type="spellStart"/>
      <w:r w:rsidRPr="00160EB9">
        <w:rPr>
          <w:sz w:val="28"/>
          <w:szCs w:val="28"/>
        </w:rPr>
        <w:t>киберсигурност</w:t>
      </w:r>
      <w:proofErr w:type="spellEnd"/>
      <w:r w:rsidRPr="00160EB9">
        <w:rPr>
          <w:sz w:val="28"/>
          <w:szCs w:val="28"/>
        </w:rPr>
        <w:t xml:space="preserve">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2018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Среща на студенти и преподаватели от катедра „Финансов контрол“ с представители на ИВОБ - Денислав Соколов, член на УС на ИВОБ и директор на дирекция „Вътрешен одит” в Държавен фонд „Земеделие“, и Цветелина Станева, административен директор на ИВОБ, които предоставиха дарение на университетската </w:t>
      </w:r>
      <w:proofErr w:type="spellStart"/>
      <w:r w:rsidRPr="00160EB9">
        <w:rPr>
          <w:sz w:val="28"/>
          <w:szCs w:val="28"/>
        </w:rPr>
        <w:t>билиотека</w:t>
      </w:r>
      <w:proofErr w:type="spellEnd"/>
      <w:r w:rsidRPr="00160EB9">
        <w:rPr>
          <w:sz w:val="28"/>
          <w:szCs w:val="28"/>
        </w:rPr>
        <w:t xml:space="preserve"> – най-новите книги за подготовка на кандидатстващите за сертификат „Вътрешен одитор“ - International Professional </w:t>
      </w:r>
      <w:proofErr w:type="spellStart"/>
      <w:r w:rsidRPr="00160EB9">
        <w:rPr>
          <w:sz w:val="28"/>
          <w:szCs w:val="28"/>
        </w:rPr>
        <w:t>Practices</w:t>
      </w:r>
      <w:proofErr w:type="spellEnd"/>
      <w:r w:rsidRPr="00160EB9">
        <w:rPr>
          <w:sz w:val="28"/>
          <w:szCs w:val="28"/>
        </w:rPr>
        <w:t xml:space="preserve"> Framework (IPPF), CIA </w:t>
      </w:r>
      <w:proofErr w:type="spellStart"/>
      <w:r w:rsidRPr="00160EB9">
        <w:rPr>
          <w:sz w:val="28"/>
          <w:szCs w:val="28"/>
        </w:rPr>
        <w:t>Exam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Practice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Questions</w:t>
      </w:r>
      <w:proofErr w:type="spellEnd"/>
      <w:r w:rsidRPr="00160EB9">
        <w:rPr>
          <w:sz w:val="28"/>
          <w:szCs w:val="28"/>
        </w:rPr>
        <w:t xml:space="preserve"> – </w:t>
      </w:r>
      <w:proofErr w:type="spellStart"/>
      <w:r w:rsidRPr="00160EB9">
        <w:rPr>
          <w:sz w:val="28"/>
          <w:szCs w:val="28"/>
        </w:rPr>
        <w:t>Certified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Internal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Auditor</w:t>
      </w:r>
      <w:proofErr w:type="spellEnd"/>
      <w:r w:rsidRPr="00160EB9">
        <w:rPr>
          <w:sz w:val="28"/>
          <w:szCs w:val="28"/>
        </w:rPr>
        <w:t xml:space="preserve"> и </w:t>
      </w:r>
      <w:proofErr w:type="spellStart"/>
      <w:r w:rsidRPr="00160EB9">
        <w:rPr>
          <w:sz w:val="28"/>
          <w:szCs w:val="28"/>
        </w:rPr>
        <w:t>Internal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Auditing</w:t>
      </w:r>
      <w:proofErr w:type="spellEnd"/>
      <w:r w:rsidRPr="00160EB9">
        <w:rPr>
          <w:sz w:val="28"/>
          <w:szCs w:val="28"/>
        </w:rPr>
        <w:t xml:space="preserve">: </w:t>
      </w:r>
      <w:proofErr w:type="spellStart"/>
      <w:r w:rsidRPr="00160EB9">
        <w:rPr>
          <w:sz w:val="28"/>
          <w:szCs w:val="28"/>
        </w:rPr>
        <w:t>Assurance</w:t>
      </w:r>
      <w:proofErr w:type="spellEnd"/>
      <w:r w:rsidRPr="00160EB9">
        <w:rPr>
          <w:sz w:val="28"/>
          <w:szCs w:val="28"/>
        </w:rPr>
        <w:t xml:space="preserve"> &amp; </w:t>
      </w:r>
      <w:proofErr w:type="spellStart"/>
      <w:r w:rsidRPr="00160EB9">
        <w:rPr>
          <w:sz w:val="28"/>
          <w:szCs w:val="28"/>
        </w:rPr>
        <w:t>Advisory</w:t>
      </w:r>
      <w:proofErr w:type="spellEnd"/>
      <w:r w:rsidRPr="00160EB9">
        <w:rPr>
          <w:sz w:val="28"/>
          <w:szCs w:val="28"/>
        </w:rPr>
        <w:t xml:space="preserve"> Services.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>· Среща с представители на АССА и АССА-член CFO на „</w:t>
      </w:r>
      <w:proofErr w:type="spellStart"/>
      <w:r w:rsidRPr="00160EB9">
        <w:rPr>
          <w:sz w:val="28"/>
          <w:szCs w:val="28"/>
        </w:rPr>
        <w:t>bTV</w:t>
      </w:r>
      <w:proofErr w:type="spellEnd"/>
      <w:r w:rsidRPr="00160EB9">
        <w:rPr>
          <w:sz w:val="28"/>
          <w:szCs w:val="28"/>
        </w:rPr>
        <w:t xml:space="preserve"> Медия Груп“ и стартиране на състезание </w:t>
      </w:r>
      <w:proofErr w:type="spellStart"/>
      <w:r w:rsidRPr="00160EB9">
        <w:rPr>
          <w:sz w:val="28"/>
          <w:szCs w:val="28"/>
        </w:rPr>
        <w:t>Are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you</w:t>
      </w:r>
      <w:proofErr w:type="spellEnd"/>
      <w:r w:rsidRPr="00160EB9">
        <w:rPr>
          <w:sz w:val="28"/>
          <w:szCs w:val="28"/>
        </w:rPr>
        <w:t xml:space="preserve"> a </w:t>
      </w:r>
      <w:proofErr w:type="spellStart"/>
      <w:r w:rsidRPr="00160EB9">
        <w:rPr>
          <w:sz w:val="28"/>
          <w:szCs w:val="28"/>
        </w:rPr>
        <w:t>finance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leader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of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tomorrow</w:t>
      </w:r>
      <w:proofErr w:type="spellEnd"/>
      <w:r w:rsidRPr="00160EB9">
        <w:rPr>
          <w:sz w:val="28"/>
          <w:szCs w:val="28"/>
        </w:rPr>
        <w:t xml:space="preserve">?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На 7 март 2018 г. г-н Димитър Тошев - старши специалист "Превенция на измами" на </w:t>
      </w:r>
      <w:proofErr w:type="spellStart"/>
      <w:r w:rsidRPr="00160EB9">
        <w:rPr>
          <w:sz w:val="28"/>
          <w:szCs w:val="28"/>
        </w:rPr>
        <w:t>Пейсейф</w:t>
      </w:r>
      <w:proofErr w:type="spellEnd"/>
      <w:r w:rsidRPr="00160EB9">
        <w:rPr>
          <w:sz w:val="28"/>
          <w:szCs w:val="28"/>
        </w:rPr>
        <w:t xml:space="preserve"> България изнесе лекция пред студенти от факултета на тема "Превенция на финансови измами и онлайн сигурност"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Публична лекция на Майкъл </w:t>
      </w:r>
      <w:proofErr w:type="spellStart"/>
      <w:r w:rsidRPr="00160EB9">
        <w:rPr>
          <w:sz w:val="28"/>
          <w:szCs w:val="28"/>
        </w:rPr>
        <w:t>Пепърс</w:t>
      </w:r>
      <w:proofErr w:type="spellEnd"/>
      <w:r w:rsidRPr="00160EB9">
        <w:rPr>
          <w:sz w:val="28"/>
          <w:szCs w:val="28"/>
        </w:rPr>
        <w:t xml:space="preserve"> (CIA, QIAL, CRMA, CPA), председател на Управителния съвет на Глобалния институт на вътрешните одитори и ръководител на вътрешния одит в Тексаския университет  през м. Април 2018 на тема "Професията вътрешен одитор - въздействие в световен мащаб и възможности за висше образование.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6. Работа със студенти и докторанти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Кръгла маса 04.12.2016  в Долна баня с докторанти към катедрата.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Включване на студент в проект № НИД НИ 1–9/2015  „ИЗСЛЕДВАНЕ НА ВЪЗМОЖНОСТИТЕ ЗА ПОДОБРЯВАНЕ НА ОБУЧЕНИЕТО ПО ВЪТРЕШЕН ОДИТ В КОНТЕКСТА НА ИЗИСКВАНИЯТА НА ИНСТИТУТА НА ВЪТРЕШНИТЕ ОДИТОРИ (THE INSTITUTE OF INTERNAL AUDITORS)„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Участие на докторанти в научно-практическа конференция по проект № НИД НП-17/2016 „Проблеми в теорията и практиката на контрола през втория програмен период 2014-2020“, доц. д-р Емил Асенов – ръководител, Равда, 2017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Участие на докторанти в научно-практическа конференция по проект № НИД НП – 23/2019 “Стратегически насоки в развитието на контролните институции в България“,  доц. д-р Даниела Петрова – ръководител, Равда, 2019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Катедра “Финансов контрол” работи активно с изявени студенти и насърчава тяхното професионално развитие. Доказателство е спечелването на първо място в Националния конкурс по одит за студенти “Млад одитор – 2016“  от Ана Мавродиева, магистър, спец. „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 xml:space="preserve">“ и то в условията на изключително силна конкуренция.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 xml:space="preserve">През отчетния период катедрата продължи да възлага упражнения на докторанти по дисциплини, свързани с темата на дисертационния труд.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7.Промени в начина на провеждане на изпити /въвеждане на електронни изпити/ по отделни дисциплини и обсъждане на резултатите . –въведени са електронни изпити за две дисциплини „</w:t>
      </w:r>
      <w:proofErr w:type="spellStart"/>
      <w:r w:rsidRPr="00160EB9">
        <w:rPr>
          <w:sz w:val="28"/>
          <w:szCs w:val="28"/>
        </w:rPr>
        <w:t>Одитинг</w:t>
      </w:r>
      <w:proofErr w:type="spellEnd"/>
      <w:r w:rsidRPr="00160EB9">
        <w:rPr>
          <w:sz w:val="28"/>
          <w:szCs w:val="28"/>
        </w:rPr>
        <w:t xml:space="preserve">“ и „Финансов контрол“.  Резултатите се обсъждат на база справки от ИЦ за успеваемост на студентите като се анализират и въпросите с най-нисък резултат.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8.Проведени анкетни проучвания сред студентите за оценка на качеството на обучението. – В рамките на направените оценки на качеството на преподаване ежегодно са провеждани анкети със студенти от специалността съгласно предварително утвърден график. Резултатите от анкетите бяха обстойно анализирани с цел получаване на обратна информация от студентите по определени въпроси, свързани с качеството на обучение. Анкетите са направени с цел оценка на качеството на преподаване и практически обхващат  почти всички преподаватели от катедрата: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Доц. д-р  Олег Димов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Доц. д-р Димитър Динев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Доц. Даниела Петрова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Доц. д-р Емил Асенов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Доц. Таня Атанасова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Гл. ас </w:t>
      </w:r>
      <w:proofErr w:type="spellStart"/>
      <w:r w:rsidRPr="00160EB9">
        <w:rPr>
          <w:sz w:val="28"/>
          <w:szCs w:val="28"/>
        </w:rPr>
        <w:t>д-р.</w:t>
      </w:r>
      <w:proofErr w:type="spellEnd"/>
      <w:r w:rsidRPr="00160EB9">
        <w:rPr>
          <w:sz w:val="28"/>
          <w:szCs w:val="28"/>
        </w:rPr>
        <w:t xml:space="preserve"> Тодор Шопов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Гл. ас. </w:t>
      </w:r>
      <w:proofErr w:type="spellStart"/>
      <w:r w:rsidRPr="00160EB9">
        <w:rPr>
          <w:sz w:val="28"/>
          <w:szCs w:val="28"/>
        </w:rPr>
        <w:t>д-р.</w:t>
      </w:r>
      <w:proofErr w:type="spellEnd"/>
      <w:r w:rsidRPr="00160EB9">
        <w:rPr>
          <w:sz w:val="28"/>
          <w:szCs w:val="28"/>
        </w:rPr>
        <w:t xml:space="preserve"> Валерия Динева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Гл. ас д-р Георги Ранчев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Гл. ас. д-р Ина Лечева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гл. ас. д-р Ивелина Петкова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Ас. Валери Йосифов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Ас. Румен Бобев 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Ас. Маргарита Голева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9.Обсъдени на катедрени съвети резултати от проведени изпити.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 xml:space="preserve">- Резултати от кандидат-студентския изпит и посочването на специалността като първо желание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Резултати от държавния изпит бакалаври и нивото на завършващите бакалавърска степен на обучение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На катедрени заседания се обсъждат както резултатите от проведени изпити, така и защити на дипломни работи. Тревога будят зачестилите случаи на представяне на научните ръководители  на дипломни работи с идентично съдържание или позоваващи се на остаряла нормативна уредба, което има като следствие отлагане на допускането до защита.  С цел подобряване на адекватността на оценяване е завишен броя на тестовите въпроси за писмената част на държавния изпит  на студентите, завършващи ОКС „Бакалавър”.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10. Защитени докторски дисертации. – 6 докторанта: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Веселина Иванова </w:t>
      </w:r>
      <w:proofErr w:type="spellStart"/>
      <w:r w:rsidRPr="00160EB9">
        <w:rPr>
          <w:sz w:val="28"/>
          <w:szCs w:val="28"/>
        </w:rPr>
        <w:t>Касапова</w:t>
      </w:r>
      <w:proofErr w:type="spellEnd"/>
      <w:r w:rsidRPr="00160EB9">
        <w:rPr>
          <w:sz w:val="28"/>
          <w:szCs w:val="28"/>
        </w:rPr>
        <w:t xml:space="preserve"> – 2016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Десислава Георгиева Константинова – 2016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Лора </w:t>
      </w:r>
      <w:proofErr w:type="spellStart"/>
      <w:r w:rsidRPr="00160EB9">
        <w:rPr>
          <w:sz w:val="28"/>
          <w:szCs w:val="28"/>
        </w:rPr>
        <w:t>Гатфан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Харуил</w:t>
      </w:r>
      <w:proofErr w:type="spellEnd"/>
      <w:r w:rsidRPr="00160EB9">
        <w:rPr>
          <w:sz w:val="28"/>
          <w:szCs w:val="28"/>
        </w:rPr>
        <w:t xml:space="preserve">  2017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Кирил Петров Митов – 2018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Николай </w:t>
      </w:r>
      <w:proofErr w:type="spellStart"/>
      <w:r w:rsidRPr="00160EB9">
        <w:rPr>
          <w:sz w:val="28"/>
          <w:szCs w:val="28"/>
        </w:rPr>
        <w:t>Любчов</w:t>
      </w:r>
      <w:proofErr w:type="spellEnd"/>
      <w:r w:rsidRPr="00160EB9">
        <w:rPr>
          <w:sz w:val="28"/>
          <w:szCs w:val="28"/>
        </w:rPr>
        <w:t xml:space="preserve"> </w:t>
      </w:r>
      <w:proofErr w:type="spellStart"/>
      <w:r w:rsidRPr="00160EB9">
        <w:rPr>
          <w:sz w:val="28"/>
          <w:szCs w:val="28"/>
        </w:rPr>
        <w:t>Алдимиров</w:t>
      </w:r>
      <w:proofErr w:type="spellEnd"/>
      <w:r w:rsidRPr="00160EB9">
        <w:rPr>
          <w:sz w:val="28"/>
          <w:szCs w:val="28"/>
        </w:rPr>
        <w:t xml:space="preserve"> – 2018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Румен Руменов Ангелов – 2019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11.  Обсъдени проекти за зачисляване в докторантура на самостоятелна подготовка. – 1 проект и взето решение за зачисляване в свободна докторантура. /Валери Цолов </w:t>
      </w:r>
      <w:proofErr w:type="spellStart"/>
      <w:r w:rsidRPr="00160EB9">
        <w:rPr>
          <w:sz w:val="28"/>
          <w:szCs w:val="28"/>
        </w:rPr>
        <w:t>Дикльовски</w:t>
      </w:r>
      <w:proofErr w:type="spellEnd"/>
      <w:r w:rsidRPr="00160EB9">
        <w:rPr>
          <w:sz w:val="28"/>
          <w:szCs w:val="28"/>
        </w:rPr>
        <w:t xml:space="preserve"> – 2018 г./.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12.  Други мероприятия на катедрата, свързани с учебната дейност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Във връзка с израстването на състава на катедрата </w:t>
      </w:r>
      <w:proofErr w:type="spellStart"/>
      <w:r w:rsidRPr="00160EB9">
        <w:rPr>
          <w:sz w:val="28"/>
          <w:szCs w:val="28"/>
        </w:rPr>
        <w:t>прeз</w:t>
      </w:r>
      <w:proofErr w:type="spellEnd"/>
      <w:r w:rsidRPr="00160EB9">
        <w:rPr>
          <w:sz w:val="28"/>
          <w:szCs w:val="28"/>
        </w:rPr>
        <w:t xml:space="preserve"> периода ноември-декември 2016 год. са проведени  5 конкурса за заемане на академични длъжности, които са приключили както следва: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д-р Миглена Павлова – доцент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д-р Георги Ранчев – </w:t>
      </w:r>
      <w:proofErr w:type="spellStart"/>
      <w:r w:rsidRPr="00160EB9">
        <w:rPr>
          <w:sz w:val="28"/>
          <w:szCs w:val="28"/>
        </w:rPr>
        <w:t>гл.асистент</w:t>
      </w:r>
      <w:proofErr w:type="spellEnd"/>
      <w:r w:rsidRPr="00160EB9">
        <w:rPr>
          <w:sz w:val="28"/>
          <w:szCs w:val="28"/>
        </w:rPr>
        <w:t xml:space="preserve">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д-р Ина Лечева– </w:t>
      </w:r>
      <w:proofErr w:type="spellStart"/>
      <w:r w:rsidRPr="00160EB9">
        <w:rPr>
          <w:sz w:val="28"/>
          <w:szCs w:val="28"/>
        </w:rPr>
        <w:t>гл.асистент</w:t>
      </w:r>
      <w:proofErr w:type="spellEnd"/>
      <w:r w:rsidRPr="00160EB9">
        <w:rPr>
          <w:sz w:val="28"/>
          <w:szCs w:val="28"/>
        </w:rPr>
        <w:t xml:space="preserve">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lastRenderedPageBreak/>
        <w:t xml:space="preserve">д-р Валерия Динева – </w:t>
      </w:r>
      <w:proofErr w:type="spellStart"/>
      <w:r w:rsidRPr="00160EB9">
        <w:rPr>
          <w:sz w:val="28"/>
          <w:szCs w:val="28"/>
        </w:rPr>
        <w:t>гл.асистент</w:t>
      </w:r>
      <w:proofErr w:type="spellEnd"/>
      <w:r w:rsidRPr="00160EB9">
        <w:rPr>
          <w:sz w:val="28"/>
          <w:szCs w:val="28"/>
        </w:rPr>
        <w:t xml:space="preserve">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д-р Ивелина Петкова – гл. асистент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През 2018 г. е обявен конкурс за доцент, който е спечелен от доц. Красимир Йорданов –  от учебната 2018/2019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Други мероприятия: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Ежегодно се организират  стажове на студентите от специалността в национални контролни институции /НАП, Сметна палата, АДФИ/, счетоводни и одиторски фирми, общини.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- През 2019 год. са подписани споразумения за сътрудничество с НАП и АДФИ.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2015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§ На 26 и 27 ноември 2015 г. представители на катедра „Финансов контрол“ взеха участие в Национална конференция, организирана от Института на вътрешните одитори в България, на тема "Инструменти за противодействие на измамите и корупцията".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§ на 19 ноември 2015 г. представители на катедра „Финансов контрол“ взеха участие в конференция  на тема "Ролята на външния одит за ефективното управление в публичния сектор", което събитие бе организирано  във връзка с две важни годишнини на върховната одитна институция - 135 години от създаването и 20 години от възстановяването на Сметната палата.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2016 г.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Кръгла маса на тема ”Предизвикателства пред одита в публичния сектор”, организирана от Финансово-счетоводния факултет съвместно с Дирекция „Вътрешен контрол” към Министерство на финансите (31.03.2016 ). На форума бяха представени два пленарни доклада, единият от които бе представен </w:t>
      </w:r>
      <w:proofErr w:type="spellStart"/>
      <w:r w:rsidRPr="00160EB9">
        <w:rPr>
          <w:sz w:val="28"/>
          <w:szCs w:val="28"/>
        </w:rPr>
        <w:t>отас</w:t>
      </w:r>
      <w:proofErr w:type="spellEnd"/>
      <w:r w:rsidRPr="00160EB9">
        <w:rPr>
          <w:sz w:val="28"/>
          <w:szCs w:val="28"/>
        </w:rPr>
        <w:t xml:space="preserve">. д-р Валерия Динева от катедра „Финансов контрол” ( пленарен доклад на тема „Независимостта на вътрешния одит – проблеми и възможности”).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Представители на катедрата взеха участие в Кръгла маса „Предизвикателства пред одиторската  професия – нормативна база“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· Академично честване на 80-годишнината на проф. </w:t>
      </w:r>
      <w:proofErr w:type="spellStart"/>
      <w:r w:rsidRPr="00160EB9">
        <w:rPr>
          <w:sz w:val="28"/>
          <w:szCs w:val="28"/>
        </w:rPr>
        <w:t>д.ик.н</w:t>
      </w:r>
      <w:proofErr w:type="spellEnd"/>
      <w:r w:rsidRPr="00160EB9">
        <w:rPr>
          <w:sz w:val="28"/>
          <w:szCs w:val="28"/>
        </w:rPr>
        <w:t xml:space="preserve">. Михаил Динев, известен наш икономист, дългогодишен преподавател в университета, ректор на УНСС (1989-1990 г.), първи председател на Сметната палата </w:t>
      </w:r>
      <w:r w:rsidRPr="00160EB9">
        <w:rPr>
          <w:sz w:val="28"/>
          <w:szCs w:val="28"/>
        </w:rPr>
        <w:lastRenderedPageBreak/>
        <w:t xml:space="preserve">(избран от Великото народно събрание през 1990 г.), председател на УС на Института на дипломираните експерт-счетоводители (2004-2011 г.), председател на Специализирания научен съвет към ВАК, зам.-министър на финансите и началник на Главно управление „Държавен финансов контрол“, дългогодишен ръководител на катедра „Финансов контрол“.  Проф. </w:t>
      </w:r>
      <w:proofErr w:type="spellStart"/>
      <w:r w:rsidRPr="00160EB9">
        <w:rPr>
          <w:sz w:val="28"/>
          <w:szCs w:val="28"/>
        </w:rPr>
        <w:t>д.ик.н</w:t>
      </w:r>
      <w:proofErr w:type="spellEnd"/>
      <w:r w:rsidRPr="00160EB9">
        <w:rPr>
          <w:sz w:val="28"/>
          <w:szCs w:val="28"/>
        </w:rPr>
        <w:t xml:space="preserve">. Динев представи доклад на тема „Власт, управление и контролна среда“.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 xml:space="preserve">2018 </w:t>
      </w:r>
    </w:p>
    <w:p w:rsidR="006D0310" w:rsidRPr="00160EB9" w:rsidRDefault="006D0310" w:rsidP="006D0310">
      <w:pPr>
        <w:pStyle w:val="NormalWeb"/>
        <w:jc w:val="both"/>
        <w:rPr>
          <w:sz w:val="28"/>
          <w:szCs w:val="28"/>
        </w:rPr>
      </w:pPr>
      <w:r w:rsidRPr="00160EB9">
        <w:rPr>
          <w:sz w:val="28"/>
          <w:szCs w:val="28"/>
        </w:rPr>
        <w:t>· Кръгла маса с участието на председателите на Сметната палата и ИВОБ, както и други заинтере</w:t>
      </w:r>
      <w:r w:rsidR="00982D23">
        <w:rPr>
          <w:sz w:val="28"/>
          <w:szCs w:val="28"/>
        </w:rPr>
        <w:t>совани лица.</w:t>
      </w:r>
    </w:p>
    <w:p w:rsidR="006D0310" w:rsidRPr="00160EB9" w:rsidRDefault="006D0310" w:rsidP="006D0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61" w:rsidRPr="00160EB9" w:rsidRDefault="00AC3561" w:rsidP="006D0310">
      <w:pPr>
        <w:rPr>
          <w:rFonts w:ascii="Times New Roman" w:hAnsi="Times New Roman" w:cs="Times New Roman"/>
          <w:sz w:val="28"/>
          <w:szCs w:val="28"/>
        </w:rPr>
      </w:pPr>
    </w:p>
    <w:sectPr w:rsidR="00AC3561" w:rsidRPr="0016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4C"/>
    <w:multiLevelType w:val="hybridMultilevel"/>
    <w:tmpl w:val="F7C00320"/>
    <w:lvl w:ilvl="0" w:tplc="5D34F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CA4"/>
    <w:multiLevelType w:val="hybridMultilevel"/>
    <w:tmpl w:val="A0205E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605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93C27"/>
    <w:multiLevelType w:val="hybridMultilevel"/>
    <w:tmpl w:val="AA843110"/>
    <w:lvl w:ilvl="0" w:tplc="AC6C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E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6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E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A4E65"/>
    <w:multiLevelType w:val="hybridMultilevel"/>
    <w:tmpl w:val="6BF888AC"/>
    <w:lvl w:ilvl="0" w:tplc="7D4E85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312"/>
    <w:multiLevelType w:val="hybridMultilevel"/>
    <w:tmpl w:val="0F9E9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2198"/>
    <w:multiLevelType w:val="hybridMultilevel"/>
    <w:tmpl w:val="F30EF3D4"/>
    <w:lvl w:ilvl="0" w:tplc="8E20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0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A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8B6EFC"/>
    <w:multiLevelType w:val="hybridMultilevel"/>
    <w:tmpl w:val="C97EA1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3E30"/>
    <w:multiLevelType w:val="hybridMultilevel"/>
    <w:tmpl w:val="D7EAAB52"/>
    <w:lvl w:ilvl="0" w:tplc="5D34FE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E4382"/>
    <w:multiLevelType w:val="hybridMultilevel"/>
    <w:tmpl w:val="39A4CF60"/>
    <w:lvl w:ilvl="0" w:tplc="0F50D95C">
      <w:start w:val="1"/>
      <w:numFmt w:val="decimal"/>
      <w:lvlText w:val="%1."/>
      <w:lvlJc w:val="left"/>
      <w:pPr>
        <w:ind w:left="795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DDE49C1"/>
    <w:multiLevelType w:val="hybridMultilevel"/>
    <w:tmpl w:val="F7121BC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502C76"/>
    <w:multiLevelType w:val="hybridMultilevel"/>
    <w:tmpl w:val="C54EC8A4"/>
    <w:lvl w:ilvl="0" w:tplc="040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ED95BDF"/>
    <w:multiLevelType w:val="hybridMultilevel"/>
    <w:tmpl w:val="7AE075E6"/>
    <w:lvl w:ilvl="0" w:tplc="31FA9B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C84FCD"/>
    <w:multiLevelType w:val="hybridMultilevel"/>
    <w:tmpl w:val="58BED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1D31"/>
    <w:multiLevelType w:val="hybridMultilevel"/>
    <w:tmpl w:val="2E90D9F6"/>
    <w:lvl w:ilvl="0" w:tplc="5E2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E8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E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7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2B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A70869"/>
    <w:multiLevelType w:val="hybridMultilevel"/>
    <w:tmpl w:val="2250E2E0"/>
    <w:lvl w:ilvl="0" w:tplc="535A3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22F"/>
    <w:multiLevelType w:val="hybridMultilevel"/>
    <w:tmpl w:val="C3BA2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124A9"/>
    <w:multiLevelType w:val="hybridMultilevel"/>
    <w:tmpl w:val="42D2F63C"/>
    <w:lvl w:ilvl="0" w:tplc="E048C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2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8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01DAD"/>
    <w:multiLevelType w:val="hybridMultilevel"/>
    <w:tmpl w:val="4EE87AC0"/>
    <w:lvl w:ilvl="0" w:tplc="0F50D95C">
      <w:start w:val="1"/>
      <w:numFmt w:val="decimal"/>
      <w:lvlText w:val="%1."/>
      <w:lvlJc w:val="left"/>
      <w:pPr>
        <w:ind w:left="795" w:hanging="360"/>
      </w:pPr>
      <w:rPr>
        <w:b w:val="0"/>
        <w:sz w:val="24"/>
        <w:szCs w:val="24"/>
      </w:rPr>
    </w:lvl>
    <w:lvl w:ilvl="1" w:tplc="A3104F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D9C"/>
    <w:multiLevelType w:val="hybridMultilevel"/>
    <w:tmpl w:val="92E2849C"/>
    <w:lvl w:ilvl="0" w:tplc="0409000F">
      <w:start w:val="1"/>
      <w:numFmt w:val="decimal"/>
      <w:lvlText w:val="%1."/>
      <w:lvlJc w:val="left"/>
      <w:pPr>
        <w:ind w:left="795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9422CE7"/>
    <w:multiLevelType w:val="hybridMultilevel"/>
    <w:tmpl w:val="CE9C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7"/>
  </w:num>
  <w:num w:numId="21">
    <w:abstractNumId w:val="6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3"/>
    <w:rsid w:val="00040535"/>
    <w:rsid w:val="00074382"/>
    <w:rsid w:val="0007461E"/>
    <w:rsid w:val="000B3ECF"/>
    <w:rsid w:val="000F4D32"/>
    <w:rsid w:val="001045CC"/>
    <w:rsid w:val="00107026"/>
    <w:rsid w:val="00160EB9"/>
    <w:rsid w:val="001635D8"/>
    <w:rsid w:val="00164CC7"/>
    <w:rsid w:val="00180657"/>
    <w:rsid w:val="00194F01"/>
    <w:rsid w:val="001B6F05"/>
    <w:rsid w:val="002B4EBE"/>
    <w:rsid w:val="002B7220"/>
    <w:rsid w:val="002F10BB"/>
    <w:rsid w:val="00375E48"/>
    <w:rsid w:val="003A1DEF"/>
    <w:rsid w:val="003B4308"/>
    <w:rsid w:val="00410C2B"/>
    <w:rsid w:val="00423D1B"/>
    <w:rsid w:val="00446059"/>
    <w:rsid w:val="00460420"/>
    <w:rsid w:val="004C0A9E"/>
    <w:rsid w:val="00500803"/>
    <w:rsid w:val="005040C5"/>
    <w:rsid w:val="005718E0"/>
    <w:rsid w:val="00574314"/>
    <w:rsid w:val="005A5620"/>
    <w:rsid w:val="005C54C5"/>
    <w:rsid w:val="005D10E3"/>
    <w:rsid w:val="0061044F"/>
    <w:rsid w:val="0066741F"/>
    <w:rsid w:val="006A7492"/>
    <w:rsid w:val="006D0310"/>
    <w:rsid w:val="006D34A1"/>
    <w:rsid w:val="0076224D"/>
    <w:rsid w:val="0076381D"/>
    <w:rsid w:val="00766E7F"/>
    <w:rsid w:val="007C69F1"/>
    <w:rsid w:val="00833A53"/>
    <w:rsid w:val="008841D2"/>
    <w:rsid w:val="008D454C"/>
    <w:rsid w:val="008E6758"/>
    <w:rsid w:val="00964F63"/>
    <w:rsid w:val="00982D23"/>
    <w:rsid w:val="009E2835"/>
    <w:rsid w:val="009E28DE"/>
    <w:rsid w:val="00A54004"/>
    <w:rsid w:val="00A70843"/>
    <w:rsid w:val="00AC3561"/>
    <w:rsid w:val="00B37CAC"/>
    <w:rsid w:val="00B45154"/>
    <w:rsid w:val="00B733B9"/>
    <w:rsid w:val="00BC3659"/>
    <w:rsid w:val="00BF3573"/>
    <w:rsid w:val="00C050ED"/>
    <w:rsid w:val="00C12BB8"/>
    <w:rsid w:val="00C64266"/>
    <w:rsid w:val="00C75ABF"/>
    <w:rsid w:val="00D21BE6"/>
    <w:rsid w:val="00D61BC9"/>
    <w:rsid w:val="00E26F0D"/>
    <w:rsid w:val="00EB4D39"/>
    <w:rsid w:val="00F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5E76"/>
  <w15:chartTrackingRefBased/>
  <w15:docId w15:val="{3F86F240-D030-401C-AB5A-F2CC7CE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57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BF3573"/>
    <w:rPr>
      <w:rFonts w:ascii="Times New Roman" w:eastAsia="Times New Roman" w:hAnsi="Times New Roman" w:cs="Times New Roman"/>
      <w:kern w:val="1"/>
      <w:sz w:val="20"/>
      <w:szCs w:val="20"/>
      <w:lang w:val="en-GB" w:eastAsia="hi-IN" w:bidi="hi-IN"/>
    </w:rPr>
  </w:style>
  <w:style w:type="table" w:styleId="TableGrid">
    <w:name w:val="Table Grid"/>
    <w:basedOn w:val="TableNormal"/>
    <w:uiPriority w:val="59"/>
    <w:rsid w:val="006D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0310"/>
    <w:pPr>
      <w:ind w:left="720"/>
      <w:contextualSpacing/>
    </w:pPr>
    <w:rPr>
      <w:rFonts w:eastAsiaTheme="minorEastAsia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6D0310"/>
    <w:rPr>
      <w:rFonts w:eastAsiaTheme="minorEastAsia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D03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ub.investor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41</Pages>
  <Words>9825</Words>
  <Characters>56008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Aleksandrova</dc:creator>
  <cp:keywords/>
  <dc:description/>
  <cp:lastModifiedBy>Margarita Aleksandrova</cp:lastModifiedBy>
  <cp:revision>84</cp:revision>
  <dcterms:created xsi:type="dcterms:W3CDTF">2019-11-11T14:53:00Z</dcterms:created>
  <dcterms:modified xsi:type="dcterms:W3CDTF">2019-11-13T15:30:00Z</dcterms:modified>
</cp:coreProperties>
</file>